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терапии и</w:t>
      </w:r>
      <w:r w:rsidRPr="00526305">
        <w:rPr>
          <w:rFonts w:ascii="Times New Roman" w:hAnsi="Times New Roman" w:cs="Times New Roman"/>
          <w:sz w:val="24"/>
          <w:szCs w:val="24"/>
        </w:rPr>
        <w:t xml:space="preserve"> профилактической медицины» Министерства здравоохранения Российской Федерации</w:t>
      </w: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F108E" w:rsidRPr="00526305" w:rsidRDefault="000F108E" w:rsidP="000F1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диссертации на соискание ученой степени кандидата медицинских наук на тему: </w:t>
      </w:r>
      <w:r w:rsidRPr="00526305">
        <w:rPr>
          <w:rFonts w:ascii="Times New Roman" w:hAnsi="Times New Roman" w:cs="Times New Roman"/>
          <w:b/>
          <w:sz w:val="24"/>
          <w:szCs w:val="24"/>
        </w:rPr>
        <w:t>«…»</w:t>
      </w:r>
    </w:p>
    <w:p w:rsidR="000F108E" w:rsidRPr="00526305" w:rsidRDefault="000F108E" w:rsidP="000F10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Специальность(</w:t>
      </w:r>
      <w:proofErr w:type="spellStart"/>
      <w:r w:rsidRPr="0052630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26305">
        <w:rPr>
          <w:rFonts w:ascii="Times New Roman" w:hAnsi="Times New Roman" w:cs="Times New Roman"/>
          <w:sz w:val="24"/>
          <w:szCs w:val="24"/>
        </w:rPr>
        <w:t>): шифр «наименование»; шифр «наименование»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НАУЧНЫЙ(Е) РУКОВОДИТЕЛЬ(ЛИ):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должность, ученая степень,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НАУЧНЫЙ КОНСУЛЬТАНТ: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должность, ученая степень,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подпись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аспирант/соискатель отдела … /лаборатории … 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подпись</w:t>
      </w: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8E" w:rsidRPr="00526305" w:rsidRDefault="000F108E" w:rsidP="000F1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Москва – 20.. </w:t>
      </w:r>
    </w:p>
    <w:p w:rsidR="000F108E" w:rsidRDefault="000F108E" w:rsidP="00A655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1D06" w:rsidRPr="00A655EB" w:rsidRDefault="00C11D06" w:rsidP="00A655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55EB">
        <w:rPr>
          <w:rFonts w:ascii="Times New Roman" w:hAnsi="Times New Roman"/>
          <w:b/>
          <w:sz w:val="28"/>
          <w:szCs w:val="28"/>
        </w:rPr>
        <w:lastRenderedPageBreak/>
        <w:t>Актуальность темы</w:t>
      </w:r>
    </w:p>
    <w:p w:rsidR="00B57B9F" w:rsidRPr="008A6979" w:rsidRDefault="008B7D68" w:rsidP="008A69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>В</w:t>
      </w:r>
      <w:r w:rsidR="00B57B9F" w:rsidRPr="008A6979">
        <w:rPr>
          <w:rFonts w:ascii="Times New Roman" w:hAnsi="Times New Roman" w:cs="Times New Roman"/>
          <w:sz w:val="28"/>
          <w:szCs w:val="28"/>
        </w:rPr>
        <w:t>ысокая распространенность хронических неинфекционных заболеваний (ХНИЗ) обусловлена возрастающим воздействием поведенческих факторов риска, среди которых значительное место занимает несоблюден</w:t>
      </w:r>
      <w:r w:rsidR="00014144">
        <w:rPr>
          <w:rFonts w:ascii="Times New Roman" w:hAnsi="Times New Roman" w:cs="Times New Roman"/>
          <w:sz w:val="28"/>
          <w:szCs w:val="28"/>
        </w:rPr>
        <w:t xml:space="preserve">ие принципов </w:t>
      </w:r>
      <w:r w:rsidR="0008550D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4B3E7B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732FFB" w:rsidRPr="00F67BC4">
        <w:rPr>
          <w:rFonts w:ascii="Times New Roman" w:hAnsi="Times New Roman" w:cs="Times New Roman"/>
          <w:sz w:val="28"/>
          <w:szCs w:val="28"/>
        </w:rPr>
        <w:t>(ежедневное потребление не менее 400 грамм, или пяти порций, овощей и фруктов, потр</w:t>
      </w:r>
      <w:r w:rsidR="004B3E7B" w:rsidRPr="00F67BC4">
        <w:rPr>
          <w:rFonts w:ascii="Times New Roman" w:hAnsi="Times New Roman" w:cs="Times New Roman"/>
          <w:sz w:val="28"/>
          <w:szCs w:val="28"/>
        </w:rPr>
        <w:t xml:space="preserve">ебление менее 5 грамм соли в сутки, </w:t>
      </w:r>
      <w:r w:rsidR="00732FFB" w:rsidRPr="00F67BC4">
        <w:rPr>
          <w:rFonts w:ascii="Times New Roman" w:hAnsi="Times New Roman" w:cs="Times New Roman"/>
          <w:sz w:val="28"/>
          <w:szCs w:val="28"/>
        </w:rPr>
        <w:t>снижение общего потребления жиров</w:t>
      </w:r>
      <w:r w:rsidR="004B3E7B" w:rsidRPr="00F67BC4">
        <w:rPr>
          <w:rFonts w:ascii="Times New Roman" w:hAnsi="Times New Roman" w:cs="Times New Roman"/>
          <w:sz w:val="28"/>
          <w:szCs w:val="28"/>
        </w:rPr>
        <w:t xml:space="preserve"> и добавленного сахара</w:t>
      </w:r>
      <w:r w:rsidR="00732FFB" w:rsidRPr="00F67BC4">
        <w:rPr>
          <w:rFonts w:ascii="Times New Roman" w:hAnsi="Times New Roman" w:cs="Times New Roman"/>
          <w:sz w:val="28"/>
          <w:szCs w:val="28"/>
        </w:rPr>
        <w:t xml:space="preserve"> до менее 30%</w:t>
      </w:r>
      <w:r w:rsidR="004B3E7B" w:rsidRPr="00F67BC4">
        <w:rPr>
          <w:rFonts w:ascii="Times New Roman" w:hAnsi="Times New Roman" w:cs="Times New Roman"/>
          <w:sz w:val="28"/>
          <w:szCs w:val="28"/>
        </w:rPr>
        <w:t xml:space="preserve"> и 10%</w:t>
      </w:r>
      <w:r w:rsidR="00732FFB" w:rsidRPr="00F67BC4">
        <w:rPr>
          <w:rFonts w:ascii="Times New Roman" w:hAnsi="Times New Roman" w:cs="Times New Roman"/>
          <w:sz w:val="28"/>
          <w:szCs w:val="28"/>
        </w:rPr>
        <w:t xml:space="preserve"> от общей потребляемой энергии</w:t>
      </w:r>
      <w:r w:rsidR="004B3E7B" w:rsidRPr="00F67BC4">
        <w:rPr>
          <w:rFonts w:ascii="Times New Roman" w:hAnsi="Times New Roman" w:cs="Times New Roman"/>
          <w:sz w:val="28"/>
          <w:szCs w:val="28"/>
        </w:rPr>
        <w:t xml:space="preserve"> в сутки, соответственно).</w:t>
      </w:r>
      <w:r w:rsidR="004B3E7B" w:rsidRPr="00AF5659">
        <w:rPr>
          <w:rFonts w:ascii="Times New Roman" w:hAnsi="Times New Roman" w:cs="Times New Roman"/>
          <w:sz w:val="28"/>
          <w:szCs w:val="28"/>
        </w:rPr>
        <w:t xml:space="preserve"> </w:t>
      </w:r>
      <w:r w:rsidR="00FE23C5" w:rsidRPr="00AF5659">
        <w:rPr>
          <w:rFonts w:ascii="Times New Roman" w:hAnsi="Times New Roman" w:cs="Times New Roman"/>
          <w:sz w:val="28"/>
          <w:szCs w:val="28"/>
        </w:rPr>
        <w:t>Рост</w:t>
      </w:r>
      <w:r w:rsidR="00FE23C5" w:rsidRPr="008A6979">
        <w:rPr>
          <w:rFonts w:ascii="Times New Roman" w:hAnsi="Times New Roman" w:cs="Times New Roman"/>
          <w:sz w:val="28"/>
          <w:szCs w:val="28"/>
        </w:rPr>
        <w:t xml:space="preserve"> производства переработанных пищевых продуктов, стремительная урбанизация и </w:t>
      </w:r>
      <w:r w:rsidR="009B0744" w:rsidRPr="008A6979">
        <w:rPr>
          <w:rFonts w:ascii="Times New Roman" w:hAnsi="Times New Roman" w:cs="Times New Roman"/>
          <w:sz w:val="28"/>
          <w:szCs w:val="28"/>
        </w:rPr>
        <w:t>нарушение</w:t>
      </w:r>
      <w:r w:rsidR="00B518BC" w:rsidRPr="008A6979">
        <w:rPr>
          <w:rFonts w:ascii="Times New Roman" w:hAnsi="Times New Roman" w:cs="Times New Roman"/>
          <w:sz w:val="28"/>
          <w:szCs w:val="28"/>
        </w:rPr>
        <w:t xml:space="preserve"> правил здорового образа жизни</w:t>
      </w:r>
      <w:r w:rsidR="0095764E" w:rsidRPr="008A6979">
        <w:rPr>
          <w:rFonts w:ascii="Times New Roman" w:hAnsi="Times New Roman" w:cs="Times New Roman"/>
          <w:sz w:val="28"/>
          <w:szCs w:val="28"/>
        </w:rPr>
        <w:t xml:space="preserve"> привели к </w:t>
      </w:r>
      <w:r w:rsidRPr="008A6979">
        <w:rPr>
          <w:rFonts w:ascii="Times New Roman" w:hAnsi="Times New Roman" w:cs="Times New Roman"/>
          <w:sz w:val="28"/>
          <w:szCs w:val="28"/>
        </w:rPr>
        <w:t>изменению</w:t>
      </w:r>
      <w:r w:rsidR="0095764E" w:rsidRPr="008A6979">
        <w:rPr>
          <w:rFonts w:ascii="Times New Roman" w:hAnsi="Times New Roman" w:cs="Times New Roman"/>
          <w:sz w:val="28"/>
          <w:szCs w:val="28"/>
        </w:rPr>
        <w:t xml:space="preserve"> в рационе</w:t>
      </w:r>
      <w:r w:rsidR="00FE23C5" w:rsidRPr="008A6979"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="00B57B9F" w:rsidRPr="008A6979">
        <w:rPr>
          <w:rFonts w:ascii="Times New Roman" w:hAnsi="Times New Roman" w:cs="Times New Roman"/>
          <w:sz w:val="28"/>
          <w:szCs w:val="28"/>
        </w:rPr>
        <w:t>На фоне низкой физической ак</w:t>
      </w:r>
      <w:r w:rsidR="0095764E" w:rsidRPr="008A6979">
        <w:rPr>
          <w:rFonts w:ascii="Times New Roman" w:hAnsi="Times New Roman" w:cs="Times New Roman"/>
          <w:sz w:val="28"/>
          <w:szCs w:val="28"/>
        </w:rPr>
        <w:t>тивности населени</w:t>
      </w:r>
      <w:r w:rsidRPr="008A6979">
        <w:rPr>
          <w:rFonts w:ascii="Times New Roman" w:hAnsi="Times New Roman" w:cs="Times New Roman"/>
          <w:sz w:val="28"/>
          <w:szCs w:val="28"/>
        </w:rPr>
        <w:t>я увеличилось потребление</w:t>
      </w:r>
      <w:r w:rsidR="00897013" w:rsidRPr="008A6979">
        <w:rPr>
          <w:rFonts w:ascii="Times New Roman" w:hAnsi="Times New Roman" w:cs="Times New Roman"/>
          <w:sz w:val="28"/>
          <w:szCs w:val="28"/>
        </w:rPr>
        <w:t xml:space="preserve"> </w:t>
      </w:r>
      <w:r w:rsidR="00B57B9F" w:rsidRPr="008A6979">
        <w:rPr>
          <w:rFonts w:ascii="Times New Roman" w:hAnsi="Times New Roman" w:cs="Times New Roman"/>
          <w:sz w:val="28"/>
          <w:szCs w:val="28"/>
        </w:rPr>
        <w:t>продукт</w:t>
      </w:r>
      <w:r w:rsidRPr="008A6979">
        <w:rPr>
          <w:rFonts w:ascii="Times New Roman" w:hAnsi="Times New Roman" w:cs="Times New Roman"/>
          <w:sz w:val="28"/>
          <w:szCs w:val="28"/>
        </w:rPr>
        <w:t>ов</w:t>
      </w:r>
      <w:r w:rsidR="00B57B9F" w:rsidRPr="008A6979">
        <w:rPr>
          <w:rFonts w:ascii="Times New Roman" w:hAnsi="Times New Roman" w:cs="Times New Roman"/>
          <w:sz w:val="28"/>
          <w:szCs w:val="28"/>
        </w:rPr>
        <w:t xml:space="preserve"> с высоким</w:t>
      </w:r>
      <w:r w:rsidR="00B57B9F" w:rsidRPr="008A69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64E" w:rsidRPr="008A6979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8F0CEA" w:rsidRPr="008A6979">
        <w:rPr>
          <w:rFonts w:ascii="Times New Roman" w:hAnsi="Times New Roman" w:cs="Times New Roman"/>
          <w:sz w:val="28"/>
          <w:szCs w:val="28"/>
        </w:rPr>
        <w:t xml:space="preserve">насыщенного </w:t>
      </w:r>
      <w:r w:rsidR="0095764E" w:rsidRPr="008A6979">
        <w:rPr>
          <w:rFonts w:ascii="Times New Roman" w:hAnsi="Times New Roman" w:cs="Times New Roman"/>
          <w:sz w:val="28"/>
          <w:szCs w:val="28"/>
        </w:rPr>
        <w:t xml:space="preserve">жира, </w:t>
      </w:r>
      <w:r w:rsidR="001A7B99" w:rsidRPr="00AF5659">
        <w:rPr>
          <w:rFonts w:ascii="Times New Roman" w:hAnsi="Times New Roman" w:cs="Times New Roman"/>
          <w:sz w:val="28"/>
          <w:szCs w:val="28"/>
        </w:rPr>
        <w:t>добавленного</w:t>
      </w:r>
      <w:r w:rsidR="001A7B99">
        <w:rPr>
          <w:rFonts w:ascii="Times New Roman" w:hAnsi="Times New Roman" w:cs="Times New Roman"/>
          <w:sz w:val="28"/>
          <w:szCs w:val="28"/>
        </w:rPr>
        <w:t xml:space="preserve"> </w:t>
      </w:r>
      <w:r w:rsidR="00623A50" w:rsidRPr="008A6979">
        <w:rPr>
          <w:rFonts w:ascii="Times New Roman" w:hAnsi="Times New Roman" w:cs="Times New Roman"/>
          <w:sz w:val="28"/>
          <w:szCs w:val="28"/>
        </w:rPr>
        <w:t>сахара и соли. Эти факторы не только снижают качество и продолжительность жизни</w:t>
      </w:r>
      <w:r w:rsidR="00623A50" w:rsidRPr="008A6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A50" w:rsidRPr="008A6979">
        <w:rPr>
          <w:rFonts w:ascii="Times New Roman" w:hAnsi="Times New Roman" w:cs="Times New Roman"/>
          <w:sz w:val="28"/>
          <w:szCs w:val="28"/>
        </w:rPr>
        <w:t xml:space="preserve">людей, но и </w:t>
      </w:r>
      <w:r w:rsidR="009C05CB">
        <w:rPr>
          <w:rFonts w:ascii="Times New Roman" w:hAnsi="Times New Roman" w:cs="Times New Roman"/>
          <w:sz w:val="28"/>
          <w:szCs w:val="28"/>
        </w:rPr>
        <w:t>увеличивают</w:t>
      </w:r>
      <w:r w:rsidR="00623A50" w:rsidRPr="008A6979">
        <w:rPr>
          <w:rFonts w:ascii="Times New Roman" w:hAnsi="Times New Roman" w:cs="Times New Roman"/>
          <w:sz w:val="28"/>
          <w:szCs w:val="28"/>
        </w:rPr>
        <w:t xml:space="preserve"> </w:t>
      </w:r>
      <w:r w:rsidR="00AF5659" w:rsidRPr="00F67BC4">
        <w:rPr>
          <w:rFonts w:ascii="Times New Roman" w:hAnsi="Times New Roman" w:cs="Times New Roman"/>
          <w:sz w:val="28"/>
          <w:szCs w:val="28"/>
        </w:rPr>
        <w:t>нагрузку</w:t>
      </w:r>
      <w:r w:rsidR="00623A50" w:rsidRPr="008A6979">
        <w:rPr>
          <w:rFonts w:ascii="Times New Roman" w:hAnsi="Times New Roman" w:cs="Times New Roman"/>
          <w:sz w:val="28"/>
          <w:szCs w:val="28"/>
        </w:rPr>
        <w:t xml:space="preserve"> на систему здравоохранения и экономику, а также на общество в целом.</w:t>
      </w:r>
    </w:p>
    <w:p w:rsidR="002F16DF" w:rsidRPr="0074450A" w:rsidRDefault="002F16DF" w:rsidP="007445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>Согласно исследованию глобального бремени болезней (</w:t>
      </w:r>
      <w:r w:rsidRPr="008A6979">
        <w:rPr>
          <w:rFonts w:ascii="Times New Roman" w:hAnsi="Times New Roman" w:cs="Times New Roman"/>
          <w:sz w:val="28"/>
          <w:szCs w:val="28"/>
          <w:lang w:val="en-US"/>
        </w:rPr>
        <w:t>GBD</w:t>
      </w:r>
      <w:r w:rsidRPr="008A6979">
        <w:rPr>
          <w:rFonts w:ascii="Times New Roman" w:hAnsi="Times New Roman" w:cs="Times New Roman"/>
          <w:sz w:val="28"/>
          <w:szCs w:val="28"/>
        </w:rPr>
        <w:t xml:space="preserve"> 2016), нерациональное питание является одним из ведущих факторов риска преждевременной смертности и инвалидности во всем мире. По имеющимся данным, в 2015 году </w:t>
      </w:r>
      <w:r w:rsidR="0074450A" w:rsidRPr="00D8315A">
        <w:rPr>
          <w:rFonts w:ascii="Times New Roman" w:hAnsi="Times New Roman" w:cs="Times New Roman"/>
          <w:sz w:val="28"/>
          <w:szCs w:val="28"/>
        </w:rPr>
        <w:t xml:space="preserve">непосредственно на долю пищевых рационов с низким содержанием фруктов и овощей или с высоким содержанием сахара, подвергшихся переработке пищевых продуктов или натрия приходилось 37% </w:t>
      </w:r>
      <w:r w:rsidRPr="00D8315A">
        <w:rPr>
          <w:rFonts w:ascii="Times New Roman" w:hAnsi="Times New Roman" w:cs="Times New Roman"/>
          <w:sz w:val="28"/>
          <w:szCs w:val="28"/>
        </w:rPr>
        <w:t>всех смертей и чуть более ч</w:t>
      </w:r>
      <w:r w:rsidR="00E45ABB" w:rsidRPr="00D8315A">
        <w:rPr>
          <w:rFonts w:ascii="Times New Roman" w:hAnsi="Times New Roman" w:cs="Times New Roman"/>
          <w:sz w:val="28"/>
          <w:szCs w:val="28"/>
        </w:rPr>
        <w:t xml:space="preserve">етверти общего бремени болезней (потерянные годы здоровой жизни, </w:t>
      </w:r>
      <w:proofErr w:type="spellStart"/>
      <w:r w:rsidR="00E45ABB" w:rsidRPr="00D8315A">
        <w:rPr>
          <w:rFonts w:ascii="Times New Roman" w:hAnsi="Times New Roman" w:cs="Times New Roman"/>
          <w:sz w:val="28"/>
          <w:szCs w:val="28"/>
        </w:rPr>
        <w:t>DALY</w:t>
      </w:r>
      <w:proofErr w:type="spellEnd"/>
      <w:r w:rsidR="00E45ABB" w:rsidRPr="00D8315A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E45ABB" w:rsidRPr="00D8315A">
        <w:rPr>
          <w:rFonts w:ascii="Times New Roman" w:hAnsi="Times New Roman" w:cs="Times New Roman"/>
          <w:sz w:val="28"/>
          <w:szCs w:val="28"/>
        </w:rPr>
        <w:t>GBD</w:t>
      </w:r>
      <w:proofErr w:type="spellEnd"/>
      <w:r w:rsidR="00E45ABB" w:rsidRPr="00D8315A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="00E45ABB" w:rsidRPr="00D8315A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="00E45ABB" w:rsidRPr="00D83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ABB" w:rsidRPr="00D8315A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="00E45ABB" w:rsidRPr="00D83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ABB" w:rsidRPr="00D8315A">
        <w:rPr>
          <w:rFonts w:ascii="Times New Roman" w:hAnsi="Times New Roman" w:cs="Times New Roman"/>
          <w:sz w:val="28"/>
          <w:szCs w:val="28"/>
        </w:rPr>
        <w:t>Collaborators</w:t>
      </w:r>
      <w:proofErr w:type="spellEnd"/>
      <w:r w:rsidR="00E45ABB" w:rsidRPr="00D8315A">
        <w:rPr>
          <w:rFonts w:ascii="Times New Roman" w:hAnsi="Times New Roman" w:cs="Times New Roman"/>
          <w:sz w:val="28"/>
          <w:szCs w:val="28"/>
        </w:rPr>
        <w:t>, 2016).</w:t>
      </w:r>
      <w:r w:rsidR="000353B6" w:rsidRPr="0074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3B" w:rsidRPr="008A6979" w:rsidRDefault="008C303B" w:rsidP="008A6979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A6979">
        <w:rPr>
          <w:rFonts w:ascii="Times New Roman" w:hAnsi="Times New Roman"/>
          <w:sz w:val="28"/>
          <w:szCs w:val="28"/>
        </w:rPr>
        <w:t>Для обоснования целесообразности инвестиций в профилактику хронических заболеваний, ассоциированных с нерациональным питанием, необходима оценка эконо</w:t>
      </w:r>
      <w:r w:rsidR="00E243BA">
        <w:rPr>
          <w:rFonts w:ascii="Times New Roman" w:hAnsi="Times New Roman"/>
          <w:sz w:val="28"/>
          <w:szCs w:val="28"/>
        </w:rPr>
        <w:t xml:space="preserve">мического ущерба </w:t>
      </w:r>
      <w:r w:rsidR="00E243BA" w:rsidRPr="00F67BC4">
        <w:rPr>
          <w:rFonts w:ascii="Times New Roman" w:hAnsi="Times New Roman"/>
          <w:sz w:val="28"/>
          <w:szCs w:val="28"/>
        </w:rPr>
        <w:t>рассматриваемого фактора</w:t>
      </w:r>
      <w:r w:rsidRPr="00F67BC4">
        <w:rPr>
          <w:rFonts w:ascii="Times New Roman" w:hAnsi="Times New Roman"/>
          <w:sz w:val="28"/>
          <w:szCs w:val="28"/>
        </w:rPr>
        <w:t xml:space="preserve"> риска.</w:t>
      </w:r>
      <w:r w:rsidRPr="008A6979">
        <w:rPr>
          <w:rFonts w:ascii="Times New Roman" w:hAnsi="Times New Roman"/>
          <w:sz w:val="28"/>
          <w:szCs w:val="28"/>
        </w:rPr>
        <w:t xml:space="preserve"> В мире проведен ряд исследований, </w:t>
      </w:r>
      <w:r w:rsidR="0074450A">
        <w:rPr>
          <w:rFonts w:ascii="Times New Roman" w:hAnsi="Times New Roman"/>
          <w:sz w:val="28"/>
          <w:szCs w:val="28"/>
        </w:rPr>
        <w:t>в которых оценивался как общий экономический</w:t>
      </w:r>
      <w:r w:rsidRPr="008A6979">
        <w:rPr>
          <w:rFonts w:ascii="Times New Roman" w:hAnsi="Times New Roman"/>
          <w:sz w:val="28"/>
          <w:szCs w:val="28"/>
        </w:rPr>
        <w:t xml:space="preserve"> </w:t>
      </w:r>
      <w:r w:rsidR="0074450A">
        <w:rPr>
          <w:rFonts w:ascii="Times New Roman" w:hAnsi="Times New Roman"/>
          <w:sz w:val="28"/>
          <w:szCs w:val="28"/>
        </w:rPr>
        <w:t>ущерб</w:t>
      </w:r>
      <w:r w:rsidRPr="008A6979">
        <w:rPr>
          <w:rFonts w:ascii="Times New Roman" w:hAnsi="Times New Roman"/>
          <w:sz w:val="28"/>
          <w:szCs w:val="28"/>
        </w:rPr>
        <w:t xml:space="preserve"> нерационального питания, так и его отдельных компонентов. Ежегодные экономические потери в результате нездорового </w:t>
      </w:r>
      <w:r w:rsidRPr="008A6979">
        <w:rPr>
          <w:rFonts w:ascii="Times New Roman" w:hAnsi="Times New Roman"/>
          <w:sz w:val="28"/>
          <w:szCs w:val="28"/>
        </w:rPr>
        <w:lastRenderedPageBreak/>
        <w:t xml:space="preserve">питания составили от 1,4 </w:t>
      </w:r>
      <w:r w:rsidR="00B518BC" w:rsidRPr="008A6979">
        <w:rPr>
          <w:rFonts w:ascii="Times New Roman" w:hAnsi="Times New Roman"/>
          <w:sz w:val="28"/>
          <w:szCs w:val="28"/>
        </w:rPr>
        <w:t>млрд.</w:t>
      </w:r>
      <w:r w:rsidRPr="008A6979">
        <w:rPr>
          <w:rFonts w:ascii="Times New Roman" w:hAnsi="Times New Roman"/>
          <w:sz w:val="28"/>
          <w:szCs w:val="28"/>
        </w:rPr>
        <w:t xml:space="preserve"> евро (2 млрд</w:t>
      </w:r>
      <w:r w:rsidR="00B518BC" w:rsidRPr="008A6979">
        <w:rPr>
          <w:rFonts w:ascii="Times New Roman" w:hAnsi="Times New Roman"/>
          <w:sz w:val="28"/>
          <w:szCs w:val="28"/>
        </w:rPr>
        <w:t>.</w:t>
      </w:r>
      <w:r w:rsidRPr="008A6979">
        <w:rPr>
          <w:rFonts w:ascii="Times New Roman" w:hAnsi="Times New Roman"/>
          <w:sz w:val="28"/>
          <w:szCs w:val="28"/>
        </w:rPr>
        <w:t xml:space="preserve"> австралийских долларов) в Австралии (</w:t>
      </w:r>
      <w:proofErr w:type="spellStart"/>
      <w:r w:rsidRPr="008A6979">
        <w:rPr>
          <w:rFonts w:ascii="Times New Roman" w:hAnsi="Times New Roman"/>
          <w:sz w:val="28"/>
          <w:szCs w:val="28"/>
        </w:rPr>
        <w:t>Doidge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et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al</w:t>
      </w:r>
      <w:proofErr w:type="spellEnd"/>
      <w:r w:rsidRPr="008A6979">
        <w:rPr>
          <w:rFonts w:ascii="Times New Roman" w:hAnsi="Times New Roman"/>
          <w:sz w:val="28"/>
          <w:szCs w:val="28"/>
        </w:rPr>
        <w:t>., 2012)</w:t>
      </w:r>
      <w:r w:rsidR="009C05CB">
        <w:rPr>
          <w:rFonts w:ascii="Times New Roman" w:hAnsi="Times New Roman"/>
          <w:sz w:val="28"/>
          <w:szCs w:val="28"/>
        </w:rPr>
        <w:t xml:space="preserve">, </w:t>
      </w:r>
      <w:r w:rsidRPr="008A6979">
        <w:rPr>
          <w:rFonts w:ascii="Times New Roman" w:hAnsi="Times New Roman"/>
          <w:sz w:val="28"/>
          <w:szCs w:val="28"/>
        </w:rPr>
        <w:t>до 4,5 млрд</w:t>
      </w:r>
      <w:r w:rsidR="00B518BC" w:rsidRPr="008A6979">
        <w:rPr>
          <w:rFonts w:ascii="Times New Roman" w:hAnsi="Times New Roman"/>
          <w:sz w:val="28"/>
          <w:szCs w:val="28"/>
        </w:rPr>
        <w:t>.</w:t>
      </w:r>
      <w:r w:rsidRPr="008A6979">
        <w:rPr>
          <w:rFonts w:ascii="Times New Roman" w:hAnsi="Times New Roman"/>
          <w:sz w:val="28"/>
          <w:szCs w:val="28"/>
        </w:rPr>
        <w:t xml:space="preserve"> евро (4,2 млрд</w:t>
      </w:r>
      <w:r w:rsidR="00B518BC" w:rsidRPr="008A6979">
        <w:rPr>
          <w:rFonts w:ascii="Times New Roman" w:hAnsi="Times New Roman"/>
          <w:sz w:val="28"/>
          <w:szCs w:val="28"/>
        </w:rPr>
        <w:t>.</w:t>
      </w:r>
      <w:r w:rsidRPr="008A6979">
        <w:rPr>
          <w:rFonts w:ascii="Times New Roman" w:hAnsi="Times New Roman"/>
          <w:sz w:val="28"/>
          <w:szCs w:val="28"/>
        </w:rPr>
        <w:t xml:space="preserve"> долларов США) в Китае (</w:t>
      </w:r>
      <w:proofErr w:type="spellStart"/>
      <w:r w:rsidRPr="008A6979">
        <w:rPr>
          <w:rFonts w:ascii="Times New Roman" w:hAnsi="Times New Roman"/>
          <w:sz w:val="28"/>
          <w:szCs w:val="28"/>
        </w:rPr>
        <w:t>Popkin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et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al</w:t>
      </w:r>
      <w:proofErr w:type="spellEnd"/>
      <w:r w:rsidRPr="008A6979">
        <w:rPr>
          <w:rFonts w:ascii="Times New Roman" w:hAnsi="Times New Roman"/>
          <w:sz w:val="28"/>
          <w:szCs w:val="28"/>
        </w:rPr>
        <w:t>., 2006) и 8,5–9,5 млрд</w:t>
      </w:r>
      <w:r w:rsidR="00B518BC" w:rsidRPr="008A6979">
        <w:rPr>
          <w:rFonts w:ascii="Times New Roman" w:hAnsi="Times New Roman"/>
          <w:sz w:val="28"/>
          <w:szCs w:val="28"/>
        </w:rPr>
        <w:t>.</w:t>
      </w:r>
      <w:r w:rsidRPr="008A6979">
        <w:rPr>
          <w:rFonts w:ascii="Times New Roman" w:hAnsi="Times New Roman"/>
          <w:sz w:val="28"/>
          <w:szCs w:val="28"/>
        </w:rPr>
        <w:t xml:space="preserve"> евро (5,8–6 млрд</w:t>
      </w:r>
      <w:r w:rsidR="00B518BC" w:rsidRPr="008A6979">
        <w:rPr>
          <w:rFonts w:ascii="Times New Roman" w:hAnsi="Times New Roman"/>
          <w:sz w:val="28"/>
          <w:szCs w:val="28"/>
        </w:rPr>
        <w:t>.</w:t>
      </w:r>
      <w:r w:rsidRPr="008A6979">
        <w:rPr>
          <w:rFonts w:ascii="Times New Roman" w:hAnsi="Times New Roman"/>
          <w:sz w:val="28"/>
          <w:szCs w:val="28"/>
        </w:rPr>
        <w:t xml:space="preserve"> фунтов стерлингов) в Соединенном Королевстве (</w:t>
      </w:r>
      <w:proofErr w:type="spellStart"/>
      <w:r w:rsidRPr="008A6979">
        <w:rPr>
          <w:rFonts w:ascii="Times New Roman" w:hAnsi="Times New Roman"/>
          <w:sz w:val="28"/>
          <w:szCs w:val="28"/>
        </w:rPr>
        <w:t>Rayner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8A6979">
        <w:rPr>
          <w:rFonts w:ascii="Times New Roman" w:hAnsi="Times New Roman"/>
          <w:sz w:val="28"/>
          <w:szCs w:val="28"/>
        </w:rPr>
        <w:t>Scarborough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2005; </w:t>
      </w:r>
      <w:proofErr w:type="spellStart"/>
      <w:r w:rsidRPr="008A6979">
        <w:rPr>
          <w:rFonts w:ascii="Times New Roman" w:hAnsi="Times New Roman"/>
          <w:sz w:val="28"/>
          <w:szCs w:val="28"/>
        </w:rPr>
        <w:t>Scarborough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et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al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., 2011). Прямые медицинские расходы, связанные с избыточным потреблением </w:t>
      </w:r>
      <w:r w:rsidR="00F41E4D">
        <w:rPr>
          <w:rFonts w:ascii="Times New Roman" w:hAnsi="Times New Roman"/>
          <w:sz w:val="28"/>
          <w:szCs w:val="28"/>
        </w:rPr>
        <w:t xml:space="preserve">насыщенного </w:t>
      </w:r>
      <w:r w:rsidRPr="008A6979">
        <w:rPr>
          <w:rFonts w:ascii="Times New Roman" w:hAnsi="Times New Roman"/>
          <w:sz w:val="28"/>
          <w:szCs w:val="28"/>
        </w:rPr>
        <w:t xml:space="preserve">жира, соли и </w:t>
      </w:r>
      <w:r w:rsidR="00F41E4D">
        <w:rPr>
          <w:rFonts w:ascii="Times New Roman" w:hAnsi="Times New Roman"/>
          <w:sz w:val="28"/>
          <w:szCs w:val="28"/>
        </w:rPr>
        <w:t xml:space="preserve">добавленного </w:t>
      </w:r>
      <w:r w:rsidRPr="008A6979">
        <w:rPr>
          <w:rFonts w:ascii="Times New Roman" w:hAnsi="Times New Roman"/>
          <w:sz w:val="28"/>
          <w:szCs w:val="28"/>
        </w:rPr>
        <w:t xml:space="preserve">сахара в Германии в 2008 году составили 16,8 млрд. евро, что эквивалентно 7% от общей стоимости лечения (254 млрд. евро). В целом, чрезмерное потребление соли привело к </w:t>
      </w:r>
      <w:r w:rsidR="009C05CB">
        <w:rPr>
          <w:rFonts w:ascii="Times New Roman" w:hAnsi="Times New Roman"/>
          <w:sz w:val="28"/>
          <w:szCs w:val="28"/>
        </w:rPr>
        <w:t>затратам</w:t>
      </w:r>
      <w:r w:rsidRPr="008A6979">
        <w:rPr>
          <w:rFonts w:ascii="Times New Roman" w:hAnsi="Times New Roman"/>
          <w:sz w:val="28"/>
          <w:szCs w:val="28"/>
        </w:rPr>
        <w:t xml:space="preserve"> на здравоохранение в размере 5,3 млрд. евро. Несбалансированное потребление насыщенных жирных кислот привело к потерям в размере 2,9 млрд. евро в основном из-за затрат на лечение сахарного диабета, ожирения, ишемической болезни сердца, хронической обструктивной болезни легких и артроза. (</w:t>
      </w:r>
      <w:proofErr w:type="spellStart"/>
      <w:r w:rsidRPr="008A6979">
        <w:rPr>
          <w:rFonts w:ascii="Times New Roman" w:hAnsi="Times New Roman"/>
          <w:sz w:val="28"/>
          <w:szCs w:val="28"/>
        </w:rPr>
        <w:t>Meier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T, 2015). Более трех четвертей канадцев недостаточно потребляют овощи и фрукты, что приводит к ежегодному экономическому ущербу в размер</w:t>
      </w:r>
      <w:r w:rsidR="00B518BC" w:rsidRPr="008A6979">
        <w:rPr>
          <w:rFonts w:ascii="Times New Roman" w:hAnsi="Times New Roman"/>
          <w:sz w:val="28"/>
          <w:szCs w:val="28"/>
        </w:rPr>
        <w:t>е 4,39 млрд.</w:t>
      </w:r>
      <w:r w:rsidRPr="008A6979">
        <w:rPr>
          <w:rFonts w:ascii="Times New Roman" w:hAnsi="Times New Roman"/>
          <w:sz w:val="28"/>
          <w:szCs w:val="28"/>
        </w:rPr>
        <w:t xml:space="preserve"> долларов (</w:t>
      </w:r>
      <w:proofErr w:type="spellStart"/>
      <w:r w:rsidRPr="008A6979">
        <w:rPr>
          <w:rFonts w:ascii="Times New Roman" w:hAnsi="Times New Roman"/>
          <w:sz w:val="28"/>
          <w:szCs w:val="28"/>
        </w:rPr>
        <w:t>Krueger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H, 2017).</w:t>
      </w:r>
    </w:p>
    <w:p w:rsidR="008F0CEA" w:rsidRPr="008A6979" w:rsidRDefault="0064296A" w:rsidP="008A6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>Нерациональное п</w:t>
      </w:r>
      <w:r w:rsidR="008C303B" w:rsidRPr="008A6979">
        <w:rPr>
          <w:rFonts w:ascii="Times New Roman" w:hAnsi="Times New Roman" w:cs="Times New Roman"/>
          <w:sz w:val="28"/>
          <w:szCs w:val="28"/>
        </w:rPr>
        <w:t>итание ассоциировано с</w:t>
      </w:r>
      <w:r w:rsidR="00897013" w:rsidRPr="008A697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C303B" w:rsidRPr="008A6979">
        <w:rPr>
          <w:rFonts w:ascii="Times New Roman" w:hAnsi="Times New Roman" w:cs="Times New Roman"/>
          <w:sz w:val="28"/>
          <w:szCs w:val="28"/>
        </w:rPr>
        <w:t>ем</w:t>
      </w:r>
      <w:r w:rsidR="00897013" w:rsidRPr="008A6979">
        <w:rPr>
          <w:rFonts w:ascii="Times New Roman" w:hAnsi="Times New Roman" w:cs="Times New Roman"/>
          <w:sz w:val="28"/>
          <w:szCs w:val="28"/>
        </w:rPr>
        <w:t xml:space="preserve"> </w:t>
      </w:r>
      <w:r w:rsidR="00C11D06" w:rsidRPr="008A6979">
        <w:rPr>
          <w:rFonts w:ascii="Times New Roman" w:hAnsi="Times New Roman" w:cs="Times New Roman"/>
          <w:sz w:val="28"/>
          <w:szCs w:val="28"/>
        </w:rPr>
        <w:t xml:space="preserve">ожирения, сахарного диабета 2 типа, сердечно-сосудистых заболеваний, болезней желудочно-кишечного тракта, заболеваний опорно-двигательного аппарата, некоторых онкологических заболеваний, что подтверждено многими эпидемиологическими исследованиями (Гонсалес, Д.Э.Н., 2008;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Kushi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L.N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 xml:space="preserve">., 2006;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A.Robertson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 xml:space="preserve">, 2005;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Г.Э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 xml:space="preserve">., 2010;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Mutch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D06" w:rsidRPr="008A6979">
        <w:rPr>
          <w:rFonts w:ascii="Times New Roman" w:hAnsi="Times New Roman" w:cs="Times New Roman"/>
          <w:sz w:val="28"/>
          <w:szCs w:val="28"/>
        </w:rPr>
        <w:t>D.M</w:t>
      </w:r>
      <w:proofErr w:type="spellEnd"/>
      <w:r w:rsidR="00C11D06" w:rsidRPr="008A6979">
        <w:rPr>
          <w:rFonts w:ascii="Times New Roman" w:hAnsi="Times New Roman" w:cs="Times New Roman"/>
          <w:sz w:val="28"/>
          <w:szCs w:val="28"/>
        </w:rPr>
        <w:t>., 2005</w:t>
      </w:r>
      <w:r w:rsidR="001D44CE" w:rsidRPr="008A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4CE" w:rsidRPr="008A6979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="001D44CE" w:rsidRPr="008A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CE" w:rsidRPr="008A697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1D44CE" w:rsidRPr="008A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CE" w:rsidRPr="008A697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D44CE" w:rsidRPr="008A6979">
        <w:rPr>
          <w:rFonts w:ascii="Times New Roman" w:hAnsi="Times New Roman" w:cs="Times New Roman"/>
          <w:sz w:val="28"/>
          <w:szCs w:val="28"/>
        </w:rPr>
        <w:t xml:space="preserve">., 2012; </w:t>
      </w:r>
      <w:proofErr w:type="spellStart"/>
      <w:r w:rsidR="001D44CE" w:rsidRPr="008A6979">
        <w:rPr>
          <w:rFonts w:ascii="Times New Roman" w:hAnsi="Times New Roman" w:cs="Times New Roman"/>
          <w:sz w:val="28"/>
          <w:szCs w:val="28"/>
        </w:rPr>
        <w:t>Micha</w:t>
      </w:r>
      <w:proofErr w:type="spellEnd"/>
      <w:r w:rsidR="001D44CE" w:rsidRPr="008A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CE" w:rsidRPr="008A697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1D44CE" w:rsidRPr="008A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CE" w:rsidRPr="008A697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D44CE" w:rsidRPr="008A6979">
        <w:rPr>
          <w:rFonts w:ascii="Times New Roman" w:hAnsi="Times New Roman" w:cs="Times New Roman"/>
          <w:sz w:val="28"/>
          <w:szCs w:val="28"/>
        </w:rPr>
        <w:t>., 2015</w:t>
      </w:r>
      <w:r w:rsidR="00C11D06" w:rsidRPr="008A6979">
        <w:rPr>
          <w:rFonts w:ascii="Times New Roman" w:hAnsi="Times New Roman" w:cs="Times New Roman"/>
          <w:sz w:val="28"/>
          <w:szCs w:val="28"/>
        </w:rPr>
        <w:t>).</w:t>
      </w:r>
    </w:p>
    <w:p w:rsidR="000353B6" w:rsidRPr="008A6979" w:rsidRDefault="000353B6" w:rsidP="008A697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979">
        <w:rPr>
          <w:rFonts w:ascii="Times New Roman" w:hAnsi="Times New Roman"/>
          <w:sz w:val="28"/>
          <w:szCs w:val="28"/>
        </w:rPr>
        <w:t>В этих обстоятельствах с начала 2000-х годов на европейском и глобальном уровнях было начато осуществление нескольких стратегий для содействия здоровому питанию и физической активности, призванных уменьшить соответствующее бремя нездоровья (</w:t>
      </w:r>
      <w:proofErr w:type="spellStart"/>
      <w:r w:rsidRPr="008A6979">
        <w:rPr>
          <w:rFonts w:ascii="Times New Roman" w:hAnsi="Times New Roman"/>
          <w:sz w:val="28"/>
          <w:szCs w:val="28"/>
        </w:rPr>
        <w:t>Commission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of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the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European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Communities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2007; </w:t>
      </w:r>
      <w:proofErr w:type="spellStart"/>
      <w:r w:rsidRPr="008A6979">
        <w:rPr>
          <w:rFonts w:ascii="Times New Roman" w:hAnsi="Times New Roman"/>
          <w:sz w:val="28"/>
          <w:szCs w:val="28"/>
        </w:rPr>
        <w:t>Council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of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the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European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Union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2014; </w:t>
      </w:r>
      <w:proofErr w:type="spellStart"/>
      <w:r w:rsidRPr="008A6979">
        <w:rPr>
          <w:rFonts w:ascii="Times New Roman" w:hAnsi="Times New Roman"/>
          <w:sz w:val="28"/>
          <w:szCs w:val="28"/>
        </w:rPr>
        <w:t>WHO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Regional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Office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for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Europe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2001; </w:t>
      </w:r>
      <w:proofErr w:type="spellStart"/>
      <w:r w:rsidRPr="008A6979">
        <w:rPr>
          <w:rFonts w:ascii="Times New Roman" w:hAnsi="Times New Roman"/>
          <w:sz w:val="28"/>
          <w:szCs w:val="28"/>
        </w:rPr>
        <w:t>WHO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Regional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Office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for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Europe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2005; </w:t>
      </w:r>
      <w:proofErr w:type="spellStart"/>
      <w:r w:rsidRPr="008A6979">
        <w:rPr>
          <w:rFonts w:ascii="Times New Roman" w:hAnsi="Times New Roman"/>
          <w:sz w:val="28"/>
          <w:szCs w:val="28"/>
        </w:rPr>
        <w:t>WHO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Regional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Office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lastRenderedPageBreak/>
        <w:t>for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Europe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2015; </w:t>
      </w:r>
      <w:proofErr w:type="spellStart"/>
      <w:r w:rsidRPr="008A6979">
        <w:rPr>
          <w:rFonts w:ascii="Times New Roman" w:hAnsi="Times New Roman"/>
          <w:sz w:val="28"/>
          <w:szCs w:val="28"/>
        </w:rPr>
        <w:t>WHO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Regional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Office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for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Europe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2016; </w:t>
      </w:r>
      <w:proofErr w:type="spellStart"/>
      <w:r w:rsidRPr="008A6979">
        <w:rPr>
          <w:rFonts w:ascii="Times New Roman" w:hAnsi="Times New Roman"/>
          <w:sz w:val="28"/>
          <w:szCs w:val="28"/>
        </w:rPr>
        <w:t>World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Health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Organization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, 2004; </w:t>
      </w:r>
      <w:proofErr w:type="spellStart"/>
      <w:r w:rsidRPr="008A6979">
        <w:rPr>
          <w:rFonts w:ascii="Times New Roman" w:hAnsi="Times New Roman"/>
          <w:sz w:val="28"/>
          <w:szCs w:val="28"/>
        </w:rPr>
        <w:t>World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Health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979">
        <w:rPr>
          <w:rFonts w:ascii="Times New Roman" w:hAnsi="Times New Roman"/>
          <w:sz w:val="28"/>
          <w:szCs w:val="28"/>
        </w:rPr>
        <w:t>Assembly</w:t>
      </w:r>
      <w:proofErr w:type="spellEnd"/>
      <w:r w:rsidRPr="008A6979">
        <w:rPr>
          <w:rFonts w:ascii="Times New Roman" w:hAnsi="Times New Roman"/>
          <w:sz w:val="28"/>
          <w:szCs w:val="28"/>
        </w:rPr>
        <w:t>, 2013).</w:t>
      </w:r>
    </w:p>
    <w:p w:rsidR="00C11D06" w:rsidRPr="008A6979" w:rsidRDefault="00C11D06" w:rsidP="008A6979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6979">
        <w:rPr>
          <w:rFonts w:ascii="Times New Roman" w:hAnsi="Times New Roman"/>
          <w:sz w:val="28"/>
          <w:szCs w:val="28"/>
        </w:rPr>
        <w:t>Меры популяционной профилактики являются действенным способом снижения заболе</w:t>
      </w:r>
      <w:r w:rsidR="00411C83" w:rsidRPr="008A6979">
        <w:rPr>
          <w:rFonts w:ascii="Times New Roman" w:hAnsi="Times New Roman"/>
          <w:sz w:val="28"/>
          <w:szCs w:val="28"/>
        </w:rPr>
        <w:t>ваемости и смертности населения.</w:t>
      </w:r>
      <w:r w:rsidRPr="008A6979">
        <w:rPr>
          <w:rFonts w:ascii="Times New Roman" w:hAnsi="Times New Roman"/>
          <w:sz w:val="28"/>
          <w:szCs w:val="28"/>
        </w:rPr>
        <w:t xml:space="preserve"> ВОЗ рекомендует пакет популяционных мер (</w:t>
      </w:r>
      <w:r w:rsidRPr="008A6979">
        <w:rPr>
          <w:rFonts w:ascii="Times New Roman" w:hAnsi="Times New Roman"/>
          <w:sz w:val="28"/>
          <w:szCs w:val="28"/>
          <w:lang w:val="en-US"/>
        </w:rPr>
        <w:t>best</w:t>
      </w:r>
      <w:r w:rsidRPr="008A6979">
        <w:rPr>
          <w:rFonts w:ascii="Times New Roman" w:hAnsi="Times New Roman"/>
          <w:sz w:val="28"/>
          <w:szCs w:val="28"/>
        </w:rPr>
        <w:t xml:space="preserve"> </w:t>
      </w:r>
      <w:r w:rsidRPr="008A6979">
        <w:rPr>
          <w:rFonts w:ascii="Times New Roman" w:hAnsi="Times New Roman"/>
          <w:sz w:val="28"/>
          <w:szCs w:val="28"/>
          <w:lang w:val="en-US"/>
        </w:rPr>
        <w:t>buys</w:t>
      </w:r>
      <w:r w:rsidRPr="008A6979">
        <w:rPr>
          <w:rFonts w:ascii="Times New Roman" w:hAnsi="Times New Roman"/>
          <w:sz w:val="28"/>
          <w:szCs w:val="28"/>
        </w:rPr>
        <w:t xml:space="preserve">), которые </w:t>
      </w:r>
      <w:r w:rsidR="00F67BC4">
        <w:rPr>
          <w:rFonts w:ascii="Times New Roman" w:hAnsi="Times New Roman"/>
          <w:sz w:val="28"/>
          <w:szCs w:val="28"/>
        </w:rPr>
        <w:t xml:space="preserve">успешно </w:t>
      </w:r>
      <w:r w:rsidRPr="008A6979">
        <w:rPr>
          <w:rFonts w:ascii="Times New Roman" w:hAnsi="Times New Roman"/>
          <w:sz w:val="28"/>
          <w:szCs w:val="28"/>
        </w:rPr>
        <w:t xml:space="preserve">внедрены в ряде стран. В частности, высока экономическая эффективность мер по регулированию содержания соли и </w:t>
      </w:r>
      <w:proofErr w:type="spellStart"/>
      <w:r w:rsidRPr="008A6979">
        <w:rPr>
          <w:rFonts w:ascii="Times New Roman" w:hAnsi="Times New Roman"/>
          <w:sz w:val="28"/>
          <w:szCs w:val="28"/>
        </w:rPr>
        <w:t>трансжиров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в продуктах питания за счет установления пороговых уровней их содержания (</w:t>
      </w:r>
      <w:proofErr w:type="spellStart"/>
      <w:r w:rsidRPr="008A6979">
        <w:rPr>
          <w:rFonts w:ascii="Times New Roman" w:hAnsi="Times New Roman"/>
          <w:sz w:val="28"/>
          <w:szCs w:val="28"/>
          <w:lang w:val="en-US"/>
        </w:rPr>
        <w:t>Gaziano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r w:rsidRPr="008A6979">
        <w:rPr>
          <w:rFonts w:ascii="Times New Roman" w:hAnsi="Times New Roman"/>
          <w:sz w:val="28"/>
          <w:szCs w:val="28"/>
          <w:lang w:val="en-US"/>
        </w:rPr>
        <w:t>TA</w:t>
      </w:r>
      <w:r w:rsidRPr="008A6979">
        <w:rPr>
          <w:rFonts w:ascii="Times New Roman" w:hAnsi="Times New Roman"/>
          <w:sz w:val="28"/>
          <w:szCs w:val="28"/>
        </w:rPr>
        <w:t xml:space="preserve">, 2007). В Австралии продемонстрирована высокая экономическая эффективность мер по ограничению рекламы продуктов питания с высоким содержанием </w:t>
      </w:r>
      <w:r w:rsidR="00F41E4D">
        <w:rPr>
          <w:rFonts w:ascii="Times New Roman" w:hAnsi="Times New Roman"/>
          <w:sz w:val="28"/>
          <w:szCs w:val="28"/>
        </w:rPr>
        <w:t xml:space="preserve">добавленного </w:t>
      </w:r>
      <w:r w:rsidRPr="008A6979">
        <w:rPr>
          <w:rFonts w:ascii="Times New Roman" w:hAnsi="Times New Roman"/>
          <w:sz w:val="28"/>
          <w:szCs w:val="28"/>
        </w:rPr>
        <w:t>сахара и насыщенных жиров, направленной на детей (</w:t>
      </w:r>
      <w:r w:rsidRPr="008A6979">
        <w:rPr>
          <w:rFonts w:ascii="Times New Roman" w:hAnsi="Times New Roman"/>
          <w:sz w:val="28"/>
          <w:szCs w:val="28"/>
          <w:lang w:val="en-US"/>
        </w:rPr>
        <w:t>Magnus</w:t>
      </w:r>
      <w:r w:rsidRPr="008A6979">
        <w:rPr>
          <w:rFonts w:ascii="Times New Roman" w:hAnsi="Times New Roman"/>
          <w:sz w:val="28"/>
          <w:szCs w:val="28"/>
        </w:rPr>
        <w:t>, 2009). В Аргентине меры по ограничению содержания соли в хлебе привели к возврату инвестиций, причем это оказалась наиболее экономически целесообразная мера из всех анализируемых программ популяционной профилактики (</w:t>
      </w:r>
      <w:r w:rsidRPr="008A6979">
        <w:rPr>
          <w:rFonts w:ascii="Times New Roman" w:hAnsi="Times New Roman"/>
          <w:sz w:val="28"/>
          <w:szCs w:val="28"/>
          <w:lang w:val="en-US"/>
        </w:rPr>
        <w:t>Rubinstein</w:t>
      </w:r>
      <w:r w:rsidRPr="008A6979">
        <w:rPr>
          <w:rFonts w:ascii="Times New Roman" w:hAnsi="Times New Roman"/>
          <w:sz w:val="28"/>
          <w:szCs w:val="28"/>
        </w:rPr>
        <w:t xml:space="preserve"> </w:t>
      </w:r>
      <w:r w:rsidRPr="008A6979">
        <w:rPr>
          <w:rFonts w:ascii="Times New Roman" w:hAnsi="Times New Roman"/>
          <w:sz w:val="28"/>
          <w:szCs w:val="28"/>
          <w:lang w:val="en-US"/>
        </w:rPr>
        <w:t>A</w:t>
      </w:r>
      <w:r w:rsidRPr="008A6979">
        <w:rPr>
          <w:rFonts w:ascii="Times New Roman" w:hAnsi="Times New Roman"/>
          <w:sz w:val="28"/>
          <w:szCs w:val="28"/>
        </w:rPr>
        <w:t xml:space="preserve">, 2010). В Великобритании методом моделирования продемонстрировано, что полная элиминация промышленных </w:t>
      </w:r>
      <w:proofErr w:type="spellStart"/>
      <w:r w:rsidRPr="008A6979">
        <w:rPr>
          <w:rFonts w:ascii="Times New Roman" w:hAnsi="Times New Roman"/>
          <w:sz w:val="28"/>
          <w:szCs w:val="28"/>
        </w:rPr>
        <w:t>трансжиров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из продуктов питания приведет к значительному сокращению заболеваемости и смертности и экономии в системе здравоохранения на 100 </w:t>
      </w:r>
      <w:r w:rsidR="00230899" w:rsidRPr="008A6979">
        <w:rPr>
          <w:rFonts w:ascii="Times New Roman" w:hAnsi="Times New Roman"/>
          <w:sz w:val="28"/>
          <w:szCs w:val="28"/>
        </w:rPr>
        <w:t>млн.</w:t>
      </w:r>
      <w:r w:rsidRPr="008A6979">
        <w:rPr>
          <w:rFonts w:ascii="Times New Roman" w:hAnsi="Times New Roman"/>
          <w:sz w:val="28"/>
          <w:szCs w:val="28"/>
        </w:rPr>
        <w:t xml:space="preserve"> фунтов стерлингов (</w:t>
      </w:r>
      <w:r w:rsidRPr="008A6979">
        <w:rPr>
          <w:rFonts w:ascii="Times New Roman" w:hAnsi="Times New Roman"/>
          <w:sz w:val="28"/>
          <w:szCs w:val="28"/>
          <w:lang w:val="en-US"/>
        </w:rPr>
        <w:t>Pearson</w:t>
      </w:r>
      <w:r w:rsidRPr="008A6979">
        <w:rPr>
          <w:rFonts w:ascii="Times New Roman" w:hAnsi="Times New Roman"/>
          <w:sz w:val="28"/>
          <w:szCs w:val="28"/>
        </w:rPr>
        <w:t>-</w:t>
      </w:r>
      <w:proofErr w:type="spellStart"/>
      <w:r w:rsidRPr="008A6979">
        <w:rPr>
          <w:rFonts w:ascii="Times New Roman" w:hAnsi="Times New Roman"/>
          <w:sz w:val="28"/>
          <w:szCs w:val="28"/>
          <w:lang w:val="en-US"/>
        </w:rPr>
        <w:t>Stuttard</w:t>
      </w:r>
      <w:proofErr w:type="spellEnd"/>
      <w:r w:rsidRPr="008A6979">
        <w:rPr>
          <w:rFonts w:ascii="Times New Roman" w:hAnsi="Times New Roman"/>
          <w:sz w:val="28"/>
          <w:szCs w:val="28"/>
        </w:rPr>
        <w:t xml:space="preserve"> </w:t>
      </w:r>
      <w:r w:rsidRPr="008A6979">
        <w:rPr>
          <w:rFonts w:ascii="Times New Roman" w:hAnsi="Times New Roman"/>
          <w:sz w:val="28"/>
          <w:szCs w:val="28"/>
          <w:lang w:val="en-US"/>
        </w:rPr>
        <w:t>J</w:t>
      </w:r>
      <w:r w:rsidRPr="008A6979">
        <w:rPr>
          <w:rFonts w:ascii="Times New Roman" w:hAnsi="Times New Roman"/>
          <w:sz w:val="28"/>
          <w:szCs w:val="28"/>
        </w:rPr>
        <w:t xml:space="preserve">, 2017). </w:t>
      </w:r>
      <w:r w:rsidR="008C303B" w:rsidRPr="008A6979">
        <w:rPr>
          <w:rFonts w:ascii="Times New Roman" w:hAnsi="Times New Roman"/>
          <w:sz w:val="28"/>
          <w:szCs w:val="28"/>
        </w:rPr>
        <w:t>Популяционные меры, направленные на доступность и выбор продуктов питания, характеризуются большей экономической целесообразностью по сравнению с вмешательствами на индивидуальном уровне (</w:t>
      </w:r>
      <w:r w:rsidR="008C303B" w:rsidRPr="008A6979">
        <w:rPr>
          <w:rFonts w:ascii="Times New Roman" w:hAnsi="Times New Roman"/>
          <w:sz w:val="28"/>
          <w:szCs w:val="28"/>
          <w:lang w:val="en-US"/>
        </w:rPr>
        <w:t>Sassi</w:t>
      </w:r>
      <w:r w:rsidR="008C303B" w:rsidRPr="008A6979">
        <w:rPr>
          <w:rFonts w:ascii="Times New Roman" w:hAnsi="Times New Roman"/>
          <w:sz w:val="28"/>
          <w:szCs w:val="28"/>
        </w:rPr>
        <w:t xml:space="preserve"> </w:t>
      </w:r>
      <w:r w:rsidR="008C303B" w:rsidRPr="008A6979">
        <w:rPr>
          <w:rFonts w:ascii="Times New Roman" w:hAnsi="Times New Roman"/>
          <w:sz w:val="28"/>
          <w:szCs w:val="28"/>
          <w:lang w:val="en-US"/>
        </w:rPr>
        <w:t>F</w:t>
      </w:r>
      <w:r w:rsidR="008C303B" w:rsidRPr="008A6979">
        <w:rPr>
          <w:rFonts w:ascii="Times New Roman" w:hAnsi="Times New Roman"/>
          <w:sz w:val="28"/>
          <w:szCs w:val="28"/>
        </w:rPr>
        <w:t>, 2014).</w:t>
      </w:r>
    </w:p>
    <w:p w:rsidR="003366FB" w:rsidRPr="008A6979" w:rsidRDefault="00847294" w:rsidP="004B15AE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6979">
        <w:rPr>
          <w:rFonts w:ascii="Times New Roman" w:hAnsi="Times New Roman"/>
          <w:sz w:val="28"/>
          <w:szCs w:val="28"/>
        </w:rPr>
        <w:t>В России</w:t>
      </w:r>
      <w:r w:rsidR="00C11D06" w:rsidRPr="008A6979">
        <w:rPr>
          <w:rFonts w:ascii="Times New Roman" w:hAnsi="Times New Roman"/>
          <w:sz w:val="28"/>
          <w:szCs w:val="28"/>
        </w:rPr>
        <w:t xml:space="preserve"> есть отдельные исследования по оценке экономического ущерба</w:t>
      </w:r>
      <w:r w:rsidRPr="008A6979">
        <w:rPr>
          <w:rFonts w:ascii="Times New Roman" w:hAnsi="Times New Roman"/>
          <w:sz w:val="28"/>
          <w:szCs w:val="28"/>
        </w:rPr>
        <w:t xml:space="preserve"> (ЭУ)</w:t>
      </w:r>
      <w:r w:rsidR="00C11D06" w:rsidRPr="008A6979">
        <w:rPr>
          <w:rFonts w:ascii="Times New Roman" w:hAnsi="Times New Roman"/>
          <w:sz w:val="28"/>
          <w:szCs w:val="28"/>
        </w:rPr>
        <w:t xml:space="preserve"> курения, ожирения, артериальной гипертонии, однако данных по ЭУ, ассоциированному с отдельными аспектами нерационального питания </w:t>
      </w:r>
      <w:r w:rsidR="009363E6" w:rsidRPr="008A6979">
        <w:rPr>
          <w:rFonts w:ascii="Times New Roman" w:hAnsi="Times New Roman"/>
          <w:sz w:val="28"/>
          <w:szCs w:val="28"/>
        </w:rPr>
        <w:t xml:space="preserve">к настоящему времени </w:t>
      </w:r>
      <w:r w:rsidR="00C11D06" w:rsidRPr="008A6979">
        <w:rPr>
          <w:rFonts w:ascii="Times New Roman" w:hAnsi="Times New Roman"/>
          <w:sz w:val="28"/>
          <w:szCs w:val="28"/>
        </w:rPr>
        <w:t xml:space="preserve">нет. </w:t>
      </w:r>
      <w:r w:rsidR="000353B6" w:rsidRPr="008A6979">
        <w:rPr>
          <w:rFonts w:ascii="Times New Roman" w:hAnsi="Times New Roman"/>
          <w:sz w:val="28"/>
          <w:szCs w:val="28"/>
        </w:rPr>
        <w:t xml:space="preserve">Кроме того, меры эффективной популяционной профилактики, в том числе, рекомендованные ВОЗ, реализованы не в полном объеме, что требует обоснования их внедрения. </w:t>
      </w:r>
    </w:p>
    <w:p w:rsidR="004B15AE" w:rsidRDefault="004B15AE" w:rsidP="004B15AE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5AE" w:rsidRPr="008A6979" w:rsidRDefault="00B121F8" w:rsidP="004B3E7B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исследования: 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</w:rPr>
        <w:t>оценить экономический ущерб элементов нерационального питания (избыточное п</w:t>
      </w:r>
      <w:r w:rsidR="008D159D" w:rsidRPr="008A6979">
        <w:rPr>
          <w:rFonts w:ascii="Times New Roman" w:eastAsia="Times New Roman" w:hAnsi="Times New Roman" w:cs="Times New Roman"/>
          <w:sz w:val="28"/>
          <w:szCs w:val="28"/>
        </w:rPr>
        <w:t>отребление соли</w:t>
      </w:r>
      <w:r w:rsidR="00C14346" w:rsidRPr="008A6979">
        <w:rPr>
          <w:rFonts w:ascii="Times New Roman" w:eastAsia="Times New Roman" w:hAnsi="Times New Roman" w:cs="Times New Roman"/>
          <w:sz w:val="28"/>
          <w:szCs w:val="28"/>
        </w:rPr>
        <w:t xml:space="preserve"> и красного мяса</w:t>
      </w:r>
      <w:r w:rsidR="008D159D" w:rsidRPr="008A69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потребление овощей и фруктов, рыбы и </w:t>
      </w:r>
      <w:r w:rsidR="00F41E4D" w:rsidRPr="00A563FD">
        <w:rPr>
          <w:rFonts w:ascii="Times New Roman" w:eastAsia="Times New Roman" w:hAnsi="Times New Roman" w:cs="Times New Roman"/>
          <w:sz w:val="28"/>
          <w:szCs w:val="28"/>
        </w:rPr>
        <w:t>рыбо</w:t>
      </w:r>
      <w:r w:rsidR="00C11D06" w:rsidRPr="00A563FD">
        <w:rPr>
          <w:rFonts w:ascii="Times New Roman" w:eastAsia="Times New Roman" w:hAnsi="Times New Roman" w:cs="Times New Roman"/>
          <w:sz w:val="28"/>
          <w:szCs w:val="28"/>
        </w:rPr>
        <w:t>продуктов)</w:t>
      </w:r>
      <w:r w:rsidR="009C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11D06" w:rsidRPr="00A563FD">
        <w:rPr>
          <w:rFonts w:ascii="Times New Roman" w:eastAsia="Times New Roman" w:hAnsi="Times New Roman" w:cs="Times New Roman"/>
          <w:sz w:val="28"/>
          <w:szCs w:val="28"/>
        </w:rPr>
        <w:t xml:space="preserve">обосновать </w:t>
      </w:r>
      <w:r w:rsidR="00C11D06" w:rsidRPr="00F67BC4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9C05CB" w:rsidRPr="00F67B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1D06" w:rsidRPr="00A563FD">
        <w:rPr>
          <w:rFonts w:ascii="Times New Roman" w:eastAsia="Times New Roman" w:hAnsi="Times New Roman" w:cs="Times New Roman"/>
          <w:sz w:val="28"/>
          <w:szCs w:val="28"/>
        </w:rPr>
        <w:t xml:space="preserve"> мер популяционной профилактики, направленных на их коррекцию</w:t>
      </w:r>
      <w:r w:rsidR="009C05CB" w:rsidRPr="00A563F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Федерации.</w:t>
      </w:r>
      <w:r w:rsidR="009C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D06" w:rsidRPr="008A6979" w:rsidRDefault="00C11D06" w:rsidP="008A6979">
      <w:pPr>
        <w:spacing w:line="360" w:lineRule="auto"/>
        <w:ind w:left="143"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исследования:</w:t>
      </w:r>
    </w:p>
    <w:p w:rsidR="009C05CB" w:rsidRPr="00A563FD" w:rsidRDefault="00C11D06" w:rsidP="008A69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аналитический обзор </w:t>
      </w:r>
      <w:r w:rsidR="002A6613"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 и результатов оценки экономического ущерба </w:t>
      </w:r>
      <w:r w:rsidR="002A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r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нерационального питания</w:t>
      </w:r>
      <w:r w:rsid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CB" w:rsidRPr="00A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разработать методику оценки экономического ущерба нерационального питания, применимую в РФ. </w:t>
      </w:r>
    </w:p>
    <w:p w:rsidR="00C11D06" w:rsidRDefault="00C11D06" w:rsidP="008A69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экономический ущерб элементов нерационального питания (избыточное потребление соли</w:t>
      </w:r>
      <w:r w:rsidR="0061178F"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красного мяса</w:t>
      </w:r>
      <w:r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недостаточное потребление овощей и фруктов, рыбы и </w:t>
      </w:r>
      <w:r w:rsidR="008E5484" w:rsidRPr="00A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</w:t>
      </w:r>
      <w:r w:rsidRPr="00A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продуктов)</w:t>
      </w:r>
      <w:r w:rsidRPr="009C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популяционном уровне в РФ.</w:t>
      </w:r>
    </w:p>
    <w:p w:rsidR="00280981" w:rsidRPr="00D8315A" w:rsidRDefault="009C05CB" w:rsidP="007445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аналитический обзор исследований и рекомендаций отечественной и международной практики по реализации мер популяционной профилактики, направленных на форм</w:t>
      </w:r>
      <w:r w:rsidR="0074450A"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рационального питания, и в</w:t>
      </w:r>
      <w:r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ыделить комплекс мер с доказанной эффективностью</w:t>
      </w:r>
      <w:r w:rsidR="00C6412E"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7B4"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760AB"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реализованных или не </w:t>
      </w:r>
      <w:r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реализованных в РФ</w:t>
      </w:r>
      <w:r w:rsidR="00280981" w:rsidRPr="00D8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1D06" w:rsidRPr="008A6979" w:rsidRDefault="009C05CB" w:rsidP="008A69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модель прогнозирования эффективности мер популяционной профилактики, направленных на коррекцию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прогноз </w:t>
      </w:r>
      <w:r w:rsidR="001F1E3B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1F1E3B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75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популяционной </w:t>
      </w:r>
      <w:r w:rsidR="001F1E3B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3E5375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коррекцию питания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популяции</w:t>
      </w:r>
      <w:r w:rsidR="00280981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оценку экономической эффективности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5AE" w:rsidRPr="001760AB" w:rsidRDefault="00946FC6" w:rsidP="001760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>Разработать предложения по внедрению мер, направленных на коррекцию питания на популяционном уровне</w:t>
      </w:r>
      <w:r w:rsidR="009C05CB">
        <w:rPr>
          <w:rFonts w:ascii="Times New Roman" w:hAnsi="Times New Roman" w:cs="Times New Roman"/>
          <w:sz w:val="28"/>
          <w:szCs w:val="28"/>
        </w:rPr>
        <w:t xml:space="preserve"> в РФ</w:t>
      </w:r>
      <w:r w:rsidRPr="008A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0A" w:rsidRDefault="0074450A" w:rsidP="008A69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D06" w:rsidRPr="008A6979" w:rsidRDefault="007B4041" w:rsidP="008A69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исследования</w:t>
      </w:r>
    </w:p>
    <w:p w:rsidR="00C11D06" w:rsidRPr="008A6979" w:rsidRDefault="00280981" w:rsidP="008A697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использование следующих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исследований: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r w:rsidR="002A6613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экспертный, 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математическое м</w:t>
      </w:r>
      <w:r w:rsidR="001F1E3B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</w:t>
      </w:r>
      <w:r w:rsidR="00C11D06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4ED7" w:rsidRPr="008A6979" w:rsidRDefault="00081342" w:rsidP="0049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607D4D"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государственного</w:t>
      </w:r>
      <w:r w:rsidR="008E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proofErr w:type="spellStart"/>
      <w:r w:rsidR="008E4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</w:t>
      </w:r>
      <w:proofErr w:type="spellEnd"/>
      <w:r w:rsidR="008E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E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НМИЦ</w:t>
      </w:r>
      <w:proofErr w:type="spellEnd"/>
      <w:r w:rsidR="00E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4B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ПМ» Министерства здравоохранения Российской Федерации </w:t>
      </w:r>
      <w:r w:rsidRPr="008A69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(прикладные исследования) «Экономическое обоснование инвестиций в профилактику на популяционном уровне».</w:t>
      </w:r>
    </w:p>
    <w:p w:rsidR="00C11D06" w:rsidRDefault="00C11D06" w:rsidP="008A69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методы:</w:t>
      </w:r>
    </w:p>
    <w:p w:rsidR="009C05CB" w:rsidRDefault="009C05CB" w:rsidP="008A69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дизайн ис</w:t>
      </w:r>
      <w:r w:rsidR="00C16500" w:rsidRPr="00A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представлен на рисунке 1.</w:t>
      </w:r>
      <w:r w:rsidR="00C1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126" w:rsidRDefault="00496126" w:rsidP="008A69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F8" w:rsidRDefault="002721F8" w:rsidP="002721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56350" cy="434975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6126" w:rsidRDefault="00496126" w:rsidP="002721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D06" w:rsidRDefault="00C11D06" w:rsidP="008A6979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</w:t>
      </w:r>
      <w:r w:rsidR="00C1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исследования:</w:t>
      </w:r>
    </w:p>
    <w:p w:rsidR="00C16500" w:rsidRPr="008E4ED7" w:rsidRDefault="00C11D06" w:rsidP="008E4E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D7">
        <w:rPr>
          <w:rFonts w:ascii="Times New Roman" w:hAnsi="Times New Roman" w:cs="Times New Roman"/>
          <w:sz w:val="28"/>
          <w:szCs w:val="28"/>
        </w:rPr>
        <w:t>Аналитический обзор литературы, включая нормативные документы и рекомендации по вопросам оценки экономического ущерба, ассоциированного с нерациональным питанием</w:t>
      </w:r>
      <w:r w:rsidR="003366FB" w:rsidRPr="008E4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C74" w:rsidRPr="008A6979" w:rsidRDefault="003366FB" w:rsidP="00C16500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 xml:space="preserve">Аналитический обзор исследования </w:t>
      </w:r>
      <w:r w:rsidR="00A85C74" w:rsidRPr="008A6979">
        <w:rPr>
          <w:rFonts w:ascii="Times New Roman" w:hAnsi="Times New Roman" w:cs="Times New Roman"/>
          <w:sz w:val="28"/>
          <w:szCs w:val="28"/>
        </w:rPr>
        <w:t>мер популяционной профилактики, направленных на коррекцию питания, реализуемых в отечеств</w:t>
      </w:r>
      <w:r w:rsidR="008E5484">
        <w:rPr>
          <w:rFonts w:ascii="Times New Roman" w:hAnsi="Times New Roman" w:cs="Times New Roman"/>
          <w:sz w:val="28"/>
          <w:szCs w:val="28"/>
        </w:rPr>
        <w:t>енной и международной практике, включая эффективность этих мер и применимость в РФ.</w:t>
      </w:r>
    </w:p>
    <w:p w:rsidR="003366FB" w:rsidRPr="008A6979" w:rsidRDefault="00C11D06" w:rsidP="008A6979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 xml:space="preserve">Материал и </w:t>
      </w:r>
      <w:r w:rsidR="003E5375" w:rsidRPr="008A6979">
        <w:rPr>
          <w:rFonts w:ascii="Times New Roman" w:hAnsi="Times New Roman" w:cs="Times New Roman"/>
          <w:sz w:val="28"/>
          <w:szCs w:val="28"/>
        </w:rPr>
        <w:t>объём</w:t>
      </w:r>
      <w:r w:rsidRPr="008A6979">
        <w:rPr>
          <w:rFonts w:ascii="Times New Roman" w:hAnsi="Times New Roman" w:cs="Times New Roman"/>
          <w:sz w:val="28"/>
          <w:szCs w:val="28"/>
        </w:rPr>
        <w:t xml:space="preserve"> будет включать анализ научных отечественных и зарубежных исследований по изучаемой проблеме и практического опыта, результаты которых в открытом доступе опубликованы в научных источниках </w:t>
      </w:r>
      <w:r w:rsidR="001054DA" w:rsidRPr="008A6979">
        <w:rPr>
          <w:rFonts w:ascii="Times New Roman" w:hAnsi="Times New Roman" w:cs="Times New Roman"/>
          <w:sz w:val="28"/>
          <w:szCs w:val="28"/>
        </w:rPr>
        <w:t xml:space="preserve">(глубина анализа – последние 25 </w:t>
      </w:r>
      <w:r w:rsidRPr="008A6979">
        <w:rPr>
          <w:rFonts w:ascii="Times New Roman" w:hAnsi="Times New Roman" w:cs="Times New Roman"/>
          <w:sz w:val="28"/>
          <w:szCs w:val="28"/>
        </w:rPr>
        <w:t>лет</w:t>
      </w:r>
      <w:r w:rsidR="001054DA" w:rsidRPr="008A6979">
        <w:rPr>
          <w:rFonts w:ascii="Times New Roman" w:hAnsi="Times New Roman" w:cs="Times New Roman"/>
          <w:sz w:val="28"/>
          <w:szCs w:val="28"/>
        </w:rPr>
        <w:t>)</w:t>
      </w:r>
      <w:r w:rsidRPr="008A69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6979">
        <w:rPr>
          <w:rFonts w:ascii="Times New Roman" w:hAnsi="Times New Roman" w:cs="Times New Roman"/>
          <w:sz w:val="28"/>
          <w:szCs w:val="28"/>
        </w:rPr>
        <w:t xml:space="preserve"> Отбор цитируемых источников будет проводиться по возможности на основе требований принципов доказательной медицины, больших объемов анализируемых материалов, длительных наблюдений, позволяющих получить достоверные результаты с применением современных методов статистического анализа. </w:t>
      </w:r>
    </w:p>
    <w:p w:rsidR="00A20324" w:rsidRDefault="003366FB" w:rsidP="008A6979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A6979">
        <w:rPr>
          <w:rFonts w:ascii="Times New Roman" w:hAnsi="Times New Roman" w:cs="Times New Roman"/>
          <w:sz w:val="28"/>
          <w:szCs w:val="28"/>
        </w:rPr>
        <w:t xml:space="preserve">Объект - отечественные и зарубежные журналы, сборники материалов конференций, конгрессов, монографии, пособия, обзор рекомендаций ВОЗ и других международных организаций. </w:t>
      </w:r>
      <w:r w:rsidR="00C11D06" w:rsidRPr="008A6979">
        <w:rPr>
          <w:rFonts w:ascii="Times New Roman" w:hAnsi="Times New Roman" w:cs="Times New Roman"/>
          <w:sz w:val="28"/>
          <w:szCs w:val="28"/>
        </w:rPr>
        <w:t>Отдельный анализ будет проведен по обзору действующих нормативно-правовых документов и приказов М</w:t>
      </w:r>
      <w:r w:rsidR="008E4ED7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Российской Федерации </w:t>
      </w:r>
      <w:r w:rsidR="00C11D06" w:rsidRPr="008A6979">
        <w:rPr>
          <w:rFonts w:ascii="Times New Roman" w:hAnsi="Times New Roman" w:cs="Times New Roman"/>
          <w:sz w:val="28"/>
          <w:szCs w:val="28"/>
        </w:rPr>
        <w:t xml:space="preserve">по изучаемой проблеме. </w:t>
      </w:r>
    </w:p>
    <w:p w:rsidR="008E4ED7" w:rsidRDefault="008E4ED7" w:rsidP="008A6979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4450A">
        <w:rPr>
          <w:rFonts w:ascii="Times New Roman" w:hAnsi="Times New Roman" w:cs="Times New Roman"/>
          <w:sz w:val="28"/>
          <w:szCs w:val="28"/>
        </w:rPr>
        <w:t>Опираясь на результаты критической оценки литературы и анализа проблем измерения и методологии, будет разработана общая схема оценки издержек, обусловленных нерациональным питанием на поп</w:t>
      </w:r>
      <w:r w:rsidR="009A2261" w:rsidRPr="0074450A">
        <w:rPr>
          <w:rFonts w:ascii="Times New Roman" w:hAnsi="Times New Roman" w:cs="Times New Roman"/>
          <w:sz w:val="28"/>
          <w:szCs w:val="28"/>
        </w:rPr>
        <w:t xml:space="preserve">уляционном уровне </w:t>
      </w:r>
      <w:r w:rsidRPr="0074450A">
        <w:rPr>
          <w:rFonts w:ascii="Times New Roman" w:hAnsi="Times New Roman" w:cs="Times New Roman"/>
          <w:sz w:val="28"/>
          <w:szCs w:val="28"/>
        </w:rPr>
        <w:t>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24" w:rsidRDefault="00A20324">
      <w:pPr>
        <w:rPr>
          <w:rFonts w:ascii="Times New Roman" w:hAnsi="Times New Roman" w:cs="Times New Roman"/>
          <w:sz w:val="28"/>
          <w:szCs w:val="28"/>
        </w:rPr>
        <w:sectPr w:rsidR="00A20324" w:rsidSect="00E8623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11E0" w:rsidRDefault="00C11D06" w:rsidP="005454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3BA3">
        <w:rPr>
          <w:rFonts w:ascii="Times New Roman" w:hAnsi="Times New Roman"/>
          <w:sz w:val="28"/>
          <w:szCs w:val="28"/>
        </w:rPr>
        <w:lastRenderedPageBreak/>
        <w:t>Оценка экономического ущерба элементов нерационального питания на популяционн</w:t>
      </w:r>
      <w:r w:rsidR="005E11FD" w:rsidRPr="00243BA3">
        <w:rPr>
          <w:rFonts w:ascii="Times New Roman" w:hAnsi="Times New Roman"/>
          <w:sz w:val="28"/>
          <w:szCs w:val="28"/>
        </w:rPr>
        <w:t>ом уровне в РФ</w:t>
      </w:r>
      <w:r w:rsidRPr="00243BA3">
        <w:rPr>
          <w:rFonts w:ascii="Times New Roman" w:hAnsi="Times New Roman"/>
          <w:sz w:val="28"/>
          <w:szCs w:val="28"/>
        </w:rPr>
        <w:t>, включая прямые затраты системы здравоохранения и потери в экономике в связи с заболеваемостью и смертностью от ХНИЗ, ассоциированных с избыточным потреблением соли</w:t>
      </w:r>
      <w:r w:rsidR="005E3066" w:rsidRPr="00243BA3">
        <w:rPr>
          <w:rFonts w:ascii="Times New Roman" w:hAnsi="Times New Roman"/>
          <w:sz w:val="28"/>
          <w:szCs w:val="28"/>
        </w:rPr>
        <w:t xml:space="preserve"> и красного мяса</w:t>
      </w:r>
      <w:r w:rsidRPr="00243BA3">
        <w:rPr>
          <w:rFonts w:ascii="Times New Roman" w:hAnsi="Times New Roman"/>
          <w:sz w:val="28"/>
          <w:szCs w:val="28"/>
        </w:rPr>
        <w:t xml:space="preserve">, недостаточным потреблением овощей и фруктов, рыбы и </w:t>
      </w:r>
      <w:r w:rsidR="0054546A">
        <w:rPr>
          <w:rFonts w:ascii="Times New Roman" w:hAnsi="Times New Roman"/>
          <w:sz w:val="28"/>
          <w:szCs w:val="28"/>
        </w:rPr>
        <w:t>рыбо</w:t>
      </w:r>
      <w:r w:rsidRPr="00243BA3">
        <w:rPr>
          <w:rFonts w:ascii="Times New Roman" w:hAnsi="Times New Roman"/>
          <w:sz w:val="28"/>
          <w:szCs w:val="28"/>
        </w:rPr>
        <w:t xml:space="preserve">продуктов. </w:t>
      </w:r>
    </w:p>
    <w:p w:rsidR="00BA53DC" w:rsidRPr="00496126" w:rsidRDefault="00DA02B1" w:rsidP="0049612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распространенности анализируемых факторов риска </w:t>
      </w:r>
      <w:r w:rsidR="009A2261"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(данные </w:t>
      </w:r>
      <w:proofErr w:type="spellStart"/>
      <w:r w:rsidR="009A2261"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>проспективных</w:t>
      </w:r>
      <w:proofErr w:type="spellEnd"/>
      <w:r w:rsidR="009A2261"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исследований ЭССЕ, РОССТАТ и др.) </w:t>
      </w:r>
      <w:r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относительных рисков, </w:t>
      </w:r>
      <w:r w:rsidR="009A2261"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выделенных в литературном поиске</w:t>
      </w:r>
      <w:r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>, будет рассчитан популяционный атрибутивный риск (PAR</w:t>
      </w:r>
      <w:r w:rsidR="001D44CE" w:rsidRPr="00243BA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E76A1" w:rsidRPr="00243BA3">
        <w:rPr>
          <w:rFonts w:ascii="Times New Roman" w:hAnsi="Times New Roman"/>
          <w:sz w:val="28"/>
          <w:szCs w:val="28"/>
        </w:rPr>
        <w:t xml:space="preserve"> </w:t>
      </w:r>
      <w:r w:rsidR="001120EF" w:rsidRPr="00243BA3">
        <w:rPr>
          <w:rFonts w:ascii="Times New Roman" w:hAnsi="Times New Roman"/>
          <w:sz w:val="28"/>
          <w:szCs w:val="28"/>
        </w:rPr>
        <w:t xml:space="preserve">(формула 1,2). </w:t>
      </w:r>
    </w:p>
    <w:p w:rsidR="001120EF" w:rsidRPr="00D064EB" w:rsidRDefault="001120EF" w:rsidP="00D064EB">
      <w:pPr>
        <w:pStyle w:val="a3"/>
        <w:spacing w:line="36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>PAR 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*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RR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-1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*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RR</m:t>
            </m:r>
          </m:den>
        </m:f>
      </m:oMath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(1)</w:t>
      </w:r>
    </w:p>
    <w:p w:rsidR="001120EF" w:rsidRPr="008A6979" w:rsidRDefault="001120EF" w:rsidP="008A6979">
      <w:pPr>
        <w:pStyle w:val="a3"/>
        <w:spacing w:line="36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9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>RR</w:t>
      </w:r>
      <w:r w:rsidRPr="008A6979">
        <w:rPr>
          <w:rFonts w:ascii="Times New Roman" w:eastAsia="Times New Roman" w:hAnsi="Times New Roman"/>
          <w:sz w:val="28"/>
          <w:szCs w:val="28"/>
          <w:lang w:eastAsia="ru-RU"/>
        </w:rPr>
        <w:t xml:space="preserve">1 &lt;1, определяется </w:t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>PAR</w:t>
      </w:r>
      <w:r w:rsidRPr="008A69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редуцированной формуле:</w:t>
      </w:r>
    </w:p>
    <w:p w:rsidR="00E911E0" w:rsidRPr="00E911E0" w:rsidRDefault="001120EF" w:rsidP="00E911E0">
      <w:pPr>
        <w:pStyle w:val="a3"/>
        <w:spacing w:line="36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>PAR 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+</m:t>
            </m:r>
            <m:f>
              <m:fPr>
                <m:type m:val="skw"/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RR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-1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+</m:t>
            </m:r>
            <m:f>
              <m:fPr>
                <m:type m:val="skw"/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RR</m:t>
                </m:r>
              </m:den>
            </m:f>
          </m:den>
        </m:f>
      </m:oMath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8A6979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(2)</w:t>
      </w:r>
    </w:p>
    <w:tbl>
      <w:tblPr>
        <w:tblW w:w="9180" w:type="dxa"/>
        <w:tblInd w:w="487" w:type="dxa"/>
        <w:tblLook w:val="04A0" w:firstRow="1" w:lastRow="0" w:firstColumn="1" w:lastColumn="0" w:noHBand="0" w:noVBand="1"/>
      </w:tblPr>
      <w:tblGrid>
        <w:gridCol w:w="731"/>
        <w:gridCol w:w="8449"/>
      </w:tblGrid>
      <w:tr w:rsidR="001120EF" w:rsidRPr="008A6979" w:rsidTr="00D064EB">
        <w:trPr>
          <w:trHeight w:val="2444"/>
        </w:trPr>
        <w:tc>
          <w:tcPr>
            <w:tcW w:w="731" w:type="dxa"/>
          </w:tcPr>
          <w:p w:rsidR="001120EF" w:rsidRPr="003A5CDD" w:rsidRDefault="001120EF" w:rsidP="00D064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1120EF" w:rsidRPr="003A5CDD" w:rsidRDefault="001120EF" w:rsidP="00D064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9" w:type="dxa"/>
          </w:tcPr>
          <w:p w:rsidR="005E11FD" w:rsidRPr="003A5CDD" w:rsidRDefault="001120EF" w:rsidP="00D064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доля лиц в популяции с факторами риска (ФР);</w:t>
            </w:r>
          </w:p>
          <w:p w:rsidR="001120EF" w:rsidRPr="003A5CDD" w:rsidRDefault="001120EF" w:rsidP="00D064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доля лиц без ФР; </w:t>
            </w:r>
          </w:p>
          <w:p w:rsidR="00E911E0" w:rsidRPr="003A5CDD" w:rsidRDefault="001120EF" w:rsidP="005E11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RR - (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relative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risk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относительный риск развития заболевания, полученный на</w:t>
            </w:r>
            <w:r w:rsidR="009E76A1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основании литературных данных.</w:t>
            </w:r>
          </w:p>
          <w:p w:rsidR="003A5CDD" w:rsidRPr="003A5CDD" w:rsidRDefault="003A5CDD" w:rsidP="003A5C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15A">
              <w:rPr>
                <w:rFonts w:ascii="Times New Roman" w:hAnsi="Times New Roman" w:cs="Times New Roman"/>
                <w:b/>
              </w:rPr>
              <w:t>КРИТЕРИИ ОЦЕНКИ ЭЛЕМЕНТОВ НЕРАЦИОНАЛЬНОГО ПИТАНИЯ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2727"/>
              <w:gridCol w:w="2711"/>
            </w:tblGrid>
            <w:tr w:rsidR="003A5CDD" w:rsidRPr="003A5CDD" w:rsidTr="00EE21AD"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Элемент питания</w:t>
                  </w:r>
                </w:p>
              </w:tc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ЭССЕ</w:t>
                  </w:r>
                </w:p>
              </w:tc>
              <w:tc>
                <w:tcPr>
                  <w:tcW w:w="3191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РОССТАТ</w:t>
                  </w:r>
                </w:p>
              </w:tc>
            </w:tr>
            <w:tr w:rsidR="003A5CDD" w:rsidRPr="003A5CDD" w:rsidTr="00EE21AD"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Соль</w:t>
                  </w:r>
                </w:p>
              </w:tc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5CDD">
                    <w:rPr>
                      <w:rFonts w:ascii="Times New Roman" w:hAnsi="Times New Roman" w:cs="Times New Roman"/>
                    </w:rPr>
                    <w:t>Досаливание</w:t>
                  </w:r>
                  <w:proofErr w:type="spellEnd"/>
                  <w:r w:rsidRPr="003A5CDD">
                    <w:rPr>
                      <w:rFonts w:ascii="Times New Roman" w:hAnsi="Times New Roman" w:cs="Times New Roman"/>
                    </w:rPr>
                    <w:t xml:space="preserve"> готовой пищи и/или ежедневный прием соленых продуктов;</w:t>
                  </w:r>
                </w:p>
              </w:tc>
              <w:tc>
                <w:tcPr>
                  <w:tcW w:w="3191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более 5 грамм в день;</w:t>
                  </w:r>
                </w:p>
              </w:tc>
            </w:tr>
            <w:tr w:rsidR="003A5CDD" w:rsidRPr="003A5CDD" w:rsidTr="00EE21AD"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Добавленный сахар</w:t>
                  </w:r>
                </w:p>
              </w:tc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 xml:space="preserve">Ежедневное потребление </w:t>
                  </w:r>
                </w:p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(сладости, кондитерские изделия);</w:t>
                  </w:r>
                </w:p>
              </w:tc>
              <w:tc>
                <w:tcPr>
                  <w:tcW w:w="3191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более 50 грамм в день;</w:t>
                  </w:r>
                </w:p>
              </w:tc>
            </w:tr>
            <w:tr w:rsidR="003A5CDD" w:rsidRPr="003A5CDD" w:rsidTr="00EE21AD"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Красное мясо</w:t>
                  </w:r>
                </w:p>
              </w:tc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Ежедневное потребление;</w:t>
                  </w:r>
                </w:p>
              </w:tc>
              <w:tc>
                <w:tcPr>
                  <w:tcW w:w="3191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более 100 грамм в день;</w:t>
                  </w:r>
                </w:p>
              </w:tc>
            </w:tr>
            <w:tr w:rsidR="003A5CDD" w:rsidRPr="003A5CDD" w:rsidTr="00EE21AD"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t>Овощи и фрукты</w:t>
                  </w:r>
                </w:p>
              </w:tc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менее 1 раза в день;</w:t>
                  </w:r>
                </w:p>
              </w:tc>
              <w:tc>
                <w:tcPr>
                  <w:tcW w:w="3191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менее 400 грамм, или пяти порций в день;</w:t>
                  </w:r>
                </w:p>
              </w:tc>
            </w:tr>
            <w:tr w:rsidR="003A5CDD" w:rsidRPr="003A5CDD" w:rsidTr="00EE21AD"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5CDD">
                    <w:rPr>
                      <w:rFonts w:ascii="Times New Roman" w:hAnsi="Times New Roman" w:cs="Times New Roman"/>
                      <w:b/>
                    </w:rPr>
                    <w:lastRenderedPageBreak/>
                    <w:t>Рыба и рыбопродукты</w:t>
                  </w:r>
                </w:p>
              </w:tc>
              <w:tc>
                <w:tcPr>
                  <w:tcW w:w="3190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менее 2 раз в неделю;</w:t>
                  </w:r>
                </w:p>
              </w:tc>
              <w:tc>
                <w:tcPr>
                  <w:tcW w:w="3191" w:type="dxa"/>
                </w:tcPr>
                <w:p w:rsidR="003A5CDD" w:rsidRPr="003A5CDD" w:rsidRDefault="003A5CDD" w:rsidP="00EE21A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A5CDD">
                    <w:rPr>
                      <w:rFonts w:ascii="Times New Roman" w:hAnsi="Times New Roman" w:cs="Times New Roman"/>
                    </w:rPr>
                    <w:t>Потребление менее 60 грамм в день;</w:t>
                  </w:r>
                </w:p>
              </w:tc>
            </w:tr>
          </w:tbl>
          <w:p w:rsidR="003A5CDD" w:rsidRPr="003A5CDD" w:rsidRDefault="003A5CDD" w:rsidP="00176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540" w:rsidRPr="003A5CDD" w:rsidRDefault="009E76A1" w:rsidP="007445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оценки экономического ущерба элементов нерационального питания будет определена доля рассматриваемых факторов риска в заболеваемости и смертности от </w:t>
            </w:r>
            <w:proofErr w:type="spellStart"/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ХНИЗ</w:t>
            </w:r>
            <w:proofErr w:type="spellEnd"/>
            <w:r w:rsidR="001760AB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(сердечно-сосудистые заболевания, </w:t>
            </w:r>
            <w:r w:rsidR="0074450A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 онкологических заболеваний, </w:t>
            </w:r>
            <w:r w:rsidR="001760AB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 2 типа, хроническая обструктивная болезнь легких)</w:t>
            </w: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включенных в анализ</w:t>
            </w:r>
            <w:r w:rsidR="001760AB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E76A1" w:rsidRPr="008A6979" w:rsidRDefault="009E76A1" w:rsidP="00E84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данных Федеральной службы </w:t>
            </w:r>
            <w:r w:rsidR="005E11FD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  <w:r w:rsidR="00E84540" w:rsidRPr="003A5CDD">
              <w:t xml:space="preserve"> (</w:t>
            </w:r>
            <w:r w:rsidR="00E8454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половозрастная структура населения, повозрастная смертность населения по кодам Международной классификации Болезней (МКБ), экономические параметры (величина валового внутреннего продукта (ВВП), средняя заработная плата и др.)</w:t>
            </w:r>
            <w:r w:rsidR="005E11FD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данных годовых форм Федерального статистического наблюдения, показателей Программы государственных гарантий оказания бесплатной медицинской помощи и соответствующих расчетных клинико-статистических групп </w:t>
            </w:r>
            <w:r w:rsidR="00E911E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вышеуказанных ХНИЗ</w:t>
            </w:r>
            <w:r w:rsidR="00E8454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ассоциированных с элементами нерационального питания,</w:t>
            </w:r>
            <w:r w:rsidR="00E911E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1FD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рассчитаны прямые </w:t>
            </w:r>
            <w:r w:rsidR="00E8454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 и немедицинские </w:t>
            </w:r>
            <w:r w:rsidR="00E911E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</w:t>
            </w:r>
            <w:r w:rsidR="00E8454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(затраты на амбулаторно-поликлиническую помощь, стационарную и скорую медицинскую помощь, социальные выплаты инвалидам и пособия по временной нетрудоспособности, обусловленной заболеванием), а также </w:t>
            </w:r>
            <w:r w:rsidR="005E11FD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потери вследствие преждевременной смертности и инвалидности в трудоспособном возрасте и п</w:t>
            </w:r>
            <w:r w:rsidR="00E911E0" w:rsidRPr="003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отери заработка из-за временной нетрудоспособности.</w:t>
            </w:r>
            <w:r w:rsidR="00E9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25F6" w:rsidRPr="003A5CDD" w:rsidRDefault="005871A9" w:rsidP="003A5C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CDD">
        <w:rPr>
          <w:rFonts w:ascii="Times New Roman" w:hAnsi="Times New Roman"/>
          <w:sz w:val="28"/>
          <w:szCs w:val="28"/>
        </w:rPr>
        <w:lastRenderedPageBreak/>
        <w:t>Выделение комплекса мер популяционной профилактики с доказанной эффективностью, направленных на формирование рационального питания</w:t>
      </w:r>
      <w:r w:rsidR="00FA4BCC" w:rsidRPr="003A5CDD">
        <w:rPr>
          <w:rFonts w:ascii="Times New Roman" w:hAnsi="Times New Roman"/>
          <w:sz w:val="28"/>
          <w:szCs w:val="28"/>
        </w:rPr>
        <w:t xml:space="preserve">, и оценка степени реализации этих мер на </w:t>
      </w:r>
      <w:r w:rsidR="00FA4BCC" w:rsidRPr="003A5CDD">
        <w:rPr>
          <w:rFonts w:ascii="Times New Roman" w:hAnsi="Times New Roman"/>
          <w:sz w:val="28"/>
          <w:szCs w:val="28"/>
        </w:rPr>
        <w:lastRenderedPageBreak/>
        <w:t xml:space="preserve">федеральном уровне. </w:t>
      </w:r>
      <w:r w:rsidR="00BE25CE" w:rsidRPr="003A5CDD">
        <w:rPr>
          <w:rFonts w:ascii="Times New Roman" w:hAnsi="Times New Roman"/>
          <w:sz w:val="28"/>
          <w:szCs w:val="28"/>
        </w:rPr>
        <w:t xml:space="preserve">Анализ нормативных документов, рекомендаций, включая стандарты, ГОСТы, </w:t>
      </w:r>
      <w:proofErr w:type="spellStart"/>
      <w:r w:rsidR="00BE25CE" w:rsidRPr="003A5CDD">
        <w:rPr>
          <w:rFonts w:ascii="Times New Roman" w:hAnsi="Times New Roman"/>
          <w:sz w:val="28"/>
          <w:szCs w:val="28"/>
        </w:rPr>
        <w:t>СанПины</w:t>
      </w:r>
      <w:proofErr w:type="spellEnd"/>
      <w:r w:rsidR="00BE25CE" w:rsidRPr="003A5CDD">
        <w:rPr>
          <w:rFonts w:ascii="Times New Roman" w:hAnsi="Times New Roman"/>
          <w:sz w:val="28"/>
          <w:szCs w:val="28"/>
        </w:rPr>
        <w:t xml:space="preserve">. </w:t>
      </w:r>
    </w:p>
    <w:p w:rsidR="005525F6" w:rsidRPr="00FA4BCC" w:rsidRDefault="00C11D06" w:rsidP="004B15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F6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5525F6" w:rsidRPr="00496126">
        <w:rPr>
          <w:rFonts w:ascii="Times New Roman" w:hAnsi="Times New Roman" w:cs="Times New Roman"/>
          <w:sz w:val="28"/>
          <w:szCs w:val="28"/>
        </w:rPr>
        <w:t>прогнозирования</w:t>
      </w:r>
      <w:r w:rsidR="005525F6">
        <w:rPr>
          <w:rFonts w:ascii="Times New Roman" w:hAnsi="Times New Roman" w:cs="Times New Roman"/>
          <w:sz w:val="28"/>
          <w:szCs w:val="28"/>
        </w:rPr>
        <w:t xml:space="preserve"> </w:t>
      </w:r>
      <w:r w:rsidRPr="005525F6">
        <w:rPr>
          <w:rFonts w:ascii="Times New Roman" w:hAnsi="Times New Roman" w:cs="Times New Roman"/>
          <w:sz w:val="28"/>
          <w:szCs w:val="28"/>
        </w:rPr>
        <w:t>эффективности мер популяционной профилактики, нап</w:t>
      </w:r>
      <w:r w:rsidR="00304F97" w:rsidRPr="005525F6">
        <w:rPr>
          <w:rFonts w:ascii="Times New Roman" w:hAnsi="Times New Roman" w:cs="Times New Roman"/>
          <w:sz w:val="28"/>
          <w:szCs w:val="28"/>
        </w:rPr>
        <w:t xml:space="preserve">равленных на коррекцию </w:t>
      </w:r>
      <w:r w:rsidR="005525F6">
        <w:rPr>
          <w:rFonts w:ascii="Times New Roman" w:hAnsi="Times New Roman" w:cs="Times New Roman"/>
          <w:sz w:val="28"/>
          <w:szCs w:val="28"/>
        </w:rPr>
        <w:t xml:space="preserve">нерационального </w:t>
      </w:r>
      <w:r w:rsidR="00304F97" w:rsidRPr="005525F6">
        <w:rPr>
          <w:rFonts w:ascii="Times New Roman" w:hAnsi="Times New Roman" w:cs="Times New Roman"/>
          <w:sz w:val="28"/>
          <w:szCs w:val="28"/>
        </w:rPr>
        <w:t xml:space="preserve">питания, путем измерения нового уровня риска (частоты неблагоприятных исходов, которые вследствие контроля над </w:t>
      </w:r>
      <w:r w:rsidR="008A6979" w:rsidRPr="005525F6">
        <w:rPr>
          <w:rFonts w:ascii="Times New Roman" w:hAnsi="Times New Roman" w:cs="Times New Roman"/>
          <w:sz w:val="28"/>
          <w:szCs w:val="28"/>
        </w:rPr>
        <w:t>фактором риска</w:t>
      </w:r>
      <w:r w:rsidR="00304F97" w:rsidRPr="005525F6">
        <w:rPr>
          <w:rFonts w:ascii="Times New Roman" w:hAnsi="Times New Roman" w:cs="Times New Roman"/>
          <w:sz w:val="28"/>
          <w:szCs w:val="28"/>
        </w:rPr>
        <w:t xml:space="preserve"> должны стать реже) после принятых мер по контролю над экспозицией.</w:t>
      </w:r>
      <w:r w:rsidR="005525F6">
        <w:rPr>
          <w:rFonts w:ascii="Times New Roman" w:hAnsi="Times New Roman" w:cs="Times New Roman"/>
          <w:sz w:val="28"/>
          <w:szCs w:val="28"/>
        </w:rPr>
        <w:t xml:space="preserve"> </w:t>
      </w:r>
      <w:r w:rsidR="005525F6" w:rsidRPr="005525F6">
        <w:rPr>
          <w:rFonts w:ascii="Times New Roman" w:hAnsi="Times New Roman"/>
          <w:sz w:val="28"/>
          <w:szCs w:val="28"/>
        </w:rPr>
        <w:t>Оценка</w:t>
      </w:r>
      <w:r w:rsidR="00243BA3" w:rsidRPr="005525F6">
        <w:rPr>
          <w:rFonts w:ascii="Times New Roman" w:hAnsi="Times New Roman"/>
          <w:sz w:val="28"/>
          <w:szCs w:val="28"/>
        </w:rPr>
        <w:t xml:space="preserve"> экономической эффективности профилактических мер будет проведен</w:t>
      </w:r>
      <w:r w:rsidR="005525F6">
        <w:rPr>
          <w:rFonts w:ascii="Times New Roman" w:hAnsi="Times New Roman"/>
          <w:sz w:val="28"/>
          <w:szCs w:val="28"/>
        </w:rPr>
        <w:t>а</w:t>
      </w:r>
      <w:r w:rsidR="00243BA3" w:rsidRPr="005525F6">
        <w:rPr>
          <w:rFonts w:ascii="Times New Roman" w:hAnsi="Times New Roman"/>
          <w:sz w:val="28"/>
          <w:szCs w:val="28"/>
        </w:rPr>
        <w:t xml:space="preserve"> путем сопоставления затрат на их реализацию с эффективностью (суммарный эффект, выраженный в натуральных единицах, таких как число случаев предотвращенной смертности, сохраненные годы качественной жизни, и суммарный экономический эффект за счет снижения затрат системы здравоохранения, предотвращения потерь производительности труда и опосредованных эффектов на разные сферы экономики). </w:t>
      </w:r>
    </w:p>
    <w:p w:rsidR="00496126" w:rsidRPr="00496126" w:rsidRDefault="00FA4BCC" w:rsidP="004961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внедрению мер популяционной профилактики, направленных на коррекцию нерационального питания, нереализованных/ не полностью реализованных в РФ.</w:t>
      </w:r>
    </w:p>
    <w:p w:rsidR="00C11D06" w:rsidRPr="003A5CDD" w:rsidRDefault="00C11D06" w:rsidP="008A69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Статистическая обработка данных</w:t>
      </w:r>
    </w:p>
    <w:p w:rsidR="004B15AE" w:rsidRPr="00F911DA" w:rsidRDefault="00C11D06" w:rsidP="004B15AE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DD">
        <w:rPr>
          <w:rFonts w:ascii="Times New Roman" w:hAnsi="Times New Roman" w:cs="Times New Roman"/>
          <w:sz w:val="28"/>
          <w:szCs w:val="28"/>
        </w:rPr>
        <w:t xml:space="preserve">Статистическая обработка полученных данных будет проводиться при помощи программы </w:t>
      </w:r>
      <w:proofErr w:type="spellStart"/>
      <w:r w:rsidRPr="003A5CD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A5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D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5CDD">
        <w:rPr>
          <w:rFonts w:ascii="Times New Roman" w:hAnsi="Times New Roman" w:cs="Times New Roman"/>
          <w:sz w:val="28"/>
          <w:szCs w:val="28"/>
        </w:rPr>
        <w:t xml:space="preserve"> 10.0</w:t>
      </w:r>
      <w:r w:rsidR="00F911DA" w:rsidRPr="003A5CDD">
        <w:rPr>
          <w:rFonts w:ascii="Times New Roman" w:hAnsi="Times New Roman" w:cs="Times New Roman"/>
          <w:sz w:val="28"/>
          <w:szCs w:val="28"/>
        </w:rPr>
        <w:t>, программ</w:t>
      </w:r>
      <w:r w:rsidR="00F911DA">
        <w:rPr>
          <w:rFonts w:ascii="Times New Roman" w:hAnsi="Times New Roman" w:cs="Times New Roman"/>
          <w:sz w:val="28"/>
          <w:szCs w:val="28"/>
        </w:rPr>
        <w:t xml:space="preserve"> </w:t>
      </w:r>
      <w:r w:rsidR="00F911DA">
        <w:rPr>
          <w:rFonts w:ascii="Times New Roman" w:hAnsi="Times New Roman" w:cs="Times New Roman"/>
          <w:sz w:val="28"/>
          <w:szCs w:val="28"/>
          <w:lang w:val="en-US"/>
        </w:rPr>
        <w:t>STATA</w:t>
      </w:r>
      <w:r w:rsidR="00F911DA" w:rsidRPr="00F911DA">
        <w:rPr>
          <w:rFonts w:ascii="Times New Roman" w:hAnsi="Times New Roman" w:cs="Times New Roman"/>
          <w:sz w:val="28"/>
          <w:szCs w:val="28"/>
        </w:rPr>
        <w:t xml:space="preserve"> </w:t>
      </w:r>
      <w:r w:rsidR="00F911DA">
        <w:rPr>
          <w:rFonts w:ascii="Times New Roman" w:hAnsi="Times New Roman" w:cs="Times New Roman"/>
          <w:sz w:val="28"/>
          <w:szCs w:val="28"/>
        </w:rPr>
        <w:t xml:space="preserve">и </w:t>
      </w:r>
      <w:r w:rsidR="00F911DA">
        <w:rPr>
          <w:rFonts w:ascii="Times New Roman" w:hAnsi="Times New Roman" w:cs="Times New Roman"/>
          <w:sz w:val="28"/>
          <w:szCs w:val="28"/>
          <w:lang w:val="en-US"/>
        </w:rPr>
        <w:t>SPPS</w:t>
      </w:r>
      <w:r w:rsidR="00F911DA">
        <w:rPr>
          <w:rFonts w:ascii="Times New Roman" w:hAnsi="Times New Roman" w:cs="Times New Roman"/>
          <w:sz w:val="28"/>
          <w:szCs w:val="28"/>
        </w:rPr>
        <w:t>. Программный продукт и подходы к моделированию будут определяться на основании потребностей моделирования (марковская модель, Монте-Карло и др.).</w:t>
      </w:r>
    </w:p>
    <w:p w:rsidR="00C11D06" w:rsidRPr="008A6979" w:rsidRDefault="00C11D06" w:rsidP="008A6979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6979">
        <w:rPr>
          <w:rFonts w:ascii="Times New Roman" w:hAnsi="Times New Roman"/>
          <w:b/>
          <w:sz w:val="28"/>
          <w:szCs w:val="28"/>
        </w:rPr>
        <w:t>Научная новизна</w:t>
      </w:r>
      <w:r w:rsidR="00D064EB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496126" w:rsidRPr="00496126" w:rsidRDefault="00496126" w:rsidP="0049612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126">
        <w:rPr>
          <w:rFonts w:ascii="Times New Roman" w:hAnsi="Times New Roman"/>
          <w:sz w:val="28"/>
          <w:szCs w:val="28"/>
        </w:rPr>
        <w:t>Впервые будет проведена оценка экономического ущерба элементов нерационального питания в российской популяции.</w:t>
      </w:r>
    </w:p>
    <w:p w:rsidR="00496126" w:rsidRPr="00496126" w:rsidRDefault="00496126" w:rsidP="0049612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126">
        <w:rPr>
          <w:rFonts w:ascii="Times New Roman" w:hAnsi="Times New Roman"/>
          <w:sz w:val="28"/>
          <w:szCs w:val="28"/>
        </w:rPr>
        <w:lastRenderedPageBreak/>
        <w:t xml:space="preserve">Будет проанализировано соответствие рекомендуемых мер популяционной профилактики, направленных на коррекцию питания, степень реализации и эффективность этих мер в РФ. </w:t>
      </w:r>
    </w:p>
    <w:p w:rsidR="00C11D06" w:rsidRPr="003A5CDD" w:rsidRDefault="00C11D06" w:rsidP="004961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D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11D06" w:rsidRPr="003A5CDD" w:rsidRDefault="00C11D06" w:rsidP="0049612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CDD">
        <w:rPr>
          <w:rFonts w:ascii="Times New Roman" w:hAnsi="Times New Roman"/>
          <w:sz w:val="28"/>
          <w:szCs w:val="28"/>
        </w:rPr>
        <w:t>Оценка экономического ущерба элементов нерационального питан</w:t>
      </w:r>
      <w:r w:rsidR="00D064EB" w:rsidRPr="003A5CDD">
        <w:rPr>
          <w:rFonts w:ascii="Times New Roman" w:hAnsi="Times New Roman"/>
          <w:sz w:val="28"/>
          <w:szCs w:val="28"/>
        </w:rPr>
        <w:t>ия на популяционном уровне в РФ.</w:t>
      </w:r>
    </w:p>
    <w:p w:rsidR="00366A73" w:rsidRPr="003A5CDD" w:rsidRDefault="00C11D06" w:rsidP="0049612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5CDD">
        <w:rPr>
          <w:rFonts w:ascii="Times New Roman" w:hAnsi="Times New Roman"/>
          <w:sz w:val="28"/>
          <w:szCs w:val="28"/>
        </w:rPr>
        <w:t xml:space="preserve">Обоснование </w:t>
      </w:r>
      <w:r w:rsidR="00B95D8F" w:rsidRPr="003A5CDD">
        <w:rPr>
          <w:rFonts w:ascii="Times New Roman" w:hAnsi="Times New Roman"/>
          <w:sz w:val="28"/>
          <w:szCs w:val="28"/>
        </w:rPr>
        <w:t>внедрения и реализации</w:t>
      </w:r>
      <w:r w:rsidRPr="003A5CDD">
        <w:rPr>
          <w:rFonts w:ascii="Times New Roman" w:hAnsi="Times New Roman"/>
          <w:sz w:val="28"/>
          <w:szCs w:val="28"/>
        </w:rPr>
        <w:t xml:space="preserve"> мер популяционной профилактики, направленных на коррекцию питания</w:t>
      </w:r>
      <w:r w:rsidR="00B95D8F" w:rsidRPr="003A5CDD">
        <w:rPr>
          <w:rFonts w:ascii="Times New Roman" w:hAnsi="Times New Roman"/>
          <w:sz w:val="28"/>
          <w:szCs w:val="28"/>
        </w:rPr>
        <w:t xml:space="preserve"> в РФ</w:t>
      </w:r>
      <w:r w:rsidR="00D064EB" w:rsidRPr="003A5CDD">
        <w:rPr>
          <w:rFonts w:ascii="Times New Roman" w:hAnsi="Times New Roman"/>
          <w:sz w:val="28"/>
          <w:szCs w:val="28"/>
        </w:rPr>
        <w:t xml:space="preserve">. </w:t>
      </w:r>
    </w:p>
    <w:p w:rsidR="007D5D10" w:rsidRDefault="007D5D10" w:rsidP="007D5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10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</w:p>
    <w:p w:rsidR="00496126" w:rsidRPr="00496126" w:rsidRDefault="00496126" w:rsidP="00496126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126">
        <w:rPr>
          <w:rFonts w:ascii="Times New Roman" w:hAnsi="Times New Roman"/>
          <w:sz w:val="28"/>
          <w:szCs w:val="28"/>
        </w:rPr>
        <w:t xml:space="preserve">Оценка экономического ущерба элементов нерационального питания на популяционном уровне в РФ будет аргументом для обоснования целесообразности инвестиций в профилактику хронических заболеваний, ассоциированных с нерациональным питанием. </w:t>
      </w:r>
    </w:p>
    <w:p w:rsidR="00496126" w:rsidRPr="00496126" w:rsidRDefault="00496126" w:rsidP="00496126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126">
        <w:rPr>
          <w:rFonts w:ascii="Times New Roman" w:hAnsi="Times New Roman"/>
          <w:sz w:val="28"/>
          <w:szCs w:val="28"/>
        </w:rPr>
        <w:t>Методом моделирования будет построен прогноз эффективности мер популяционной профилактики, направленных на коррекцию нерационального питания в РФ.</w:t>
      </w:r>
    </w:p>
    <w:p w:rsidR="00496126" w:rsidRDefault="00496126" w:rsidP="008A697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126">
        <w:rPr>
          <w:rFonts w:ascii="Times New Roman" w:hAnsi="Times New Roman"/>
          <w:sz w:val="28"/>
          <w:szCs w:val="28"/>
        </w:rPr>
        <w:t>Полученные результаты исследования будут использованы для разработки предложений по внедрению мер, направленных на коррекцию питания на популяционном уровне в РФ.</w:t>
      </w:r>
    </w:p>
    <w:p w:rsidR="00496126" w:rsidRPr="00496126" w:rsidRDefault="00496126" w:rsidP="00496126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1D06" w:rsidRPr="008A6979" w:rsidRDefault="00C11D06" w:rsidP="008A69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79">
        <w:rPr>
          <w:rFonts w:ascii="Times New Roman" w:hAnsi="Times New Roman" w:cs="Times New Roman"/>
          <w:b/>
          <w:sz w:val="28"/>
          <w:szCs w:val="28"/>
        </w:rPr>
        <w:t>Индивидуальный план выполнения диссертационного исследования:</w:t>
      </w:r>
    </w:p>
    <w:p w:rsidR="007C4D1C" w:rsidRPr="00B95D8F" w:rsidRDefault="00C11D06" w:rsidP="008A697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D8F">
        <w:rPr>
          <w:rFonts w:ascii="Times New Roman" w:hAnsi="Times New Roman"/>
          <w:sz w:val="28"/>
          <w:szCs w:val="28"/>
        </w:rPr>
        <w:t xml:space="preserve">2017-2018 гг. – анализ литературных источников по базам данных </w:t>
      </w:r>
      <w:proofErr w:type="spellStart"/>
      <w:r w:rsidRPr="00B95D8F">
        <w:rPr>
          <w:rFonts w:ascii="Times New Roman" w:hAnsi="Times New Roman"/>
          <w:sz w:val="28"/>
          <w:szCs w:val="28"/>
        </w:rPr>
        <w:t>Pubmed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4D1C" w:rsidRPr="00B95D8F">
        <w:rPr>
          <w:rFonts w:ascii="Times New Roman" w:hAnsi="Times New Roman"/>
          <w:sz w:val="28"/>
          <w:szCs w:val="28"/>
        </w:rPr>
        <w:t>Medline</w:t>
      </w:r>
      <w:proofErr w:type="spellEnd"/>
      <w:r w:rsidR="007C4D1C"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World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</w:rPr>
        <w:t>bank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</w:rPr>
        <w:t>publications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WHO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UpToDate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Directory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</w:rPr>
        <w:t>of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</w:rPr>
        <w:t>Open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</w:rPr>
        <w:t>Access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</w:rPr>
        <w:t>Journals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Citefactor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eLibrary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Cyberleninka</w:t>
      </w:r>
      <w:proofErr w:type="spellEnd"/>
      <w:r w:rsidRPr="00B9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</w:rPr>
        <w:t>ahajournals</w:t>
      </w:r>
      <w:proofErr w:type="spellEnd"/>
      <w:r w:rsidRPr="00B95D8F">
        <w:rPr>
          <w:rFonts w:ascii="Times New Roman" w:hAnsi="Times New Roman"/>
          <w:sz w:val="28"/>
          <w:szCs w:val="28"/>
        </w:rPr>
        <w:t>,</w:t>
      </w:r>
      <w:r w:rsidRPr="00B95D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>WEB</w:t>
      </w:r>
      <w:proofErr w:type="spellEnd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>SCIENCE</w:t>
      </w:r>
      <w:proofErr w:type="spellEnd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>Кокрановская</w:t>
      </w:r>
      <w:proofErr w:type="spellEnd"/>
      <w:r w:rsidRPr="00B95D8F">
        <w:rPr>
          <w:rFonts w:ascii="Times New Roman" w:hAnsi="Times New Roman"/>
          <w:sz w:val="28"/>
          <w:szCs w:val="28"/>
          <w:shd w:val="clear" w:color="auto" w:fill="FFFFFF"/>
        </w:rPr>
        <w:t xml:space="preserve"> база данных систематических обзоров. </w:t>
      </w:r>
    </w:p>
    <w:p w:rsidR="007C4D1C" w:rsidRPr="00B95D8F" w:rsidRDefault="00C11D06" w:rsidP="008A697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D8F">
        <w:rPr>
          <w:rFonts w:ascii="Times New Roman" w:hAnsi="Times New Roman"/>
          <w:sz w:val="28"/>
          <w:szCs w:val="28"/>
        </w:rPr>
        <w:t xml:space="preserve">2019 г. – </w:t>
      </w:r>
      <w:r w:rsidR="007C4D1C" w:rsidRPr="00B95D8F">
        <w:rPr>
          <w:rFonts w:ascii="Times New Roman" w:hAnsi="Times New Roman"/>
          <w:sz w:val="28"/>
          <w:szCs w:val="28"/>
        </w:rPr>
        <w:t>утверждение темы диссертации, начало</w:t>
      </w:r>
      <w:r w:rsidRPr="00B95D8F">
        <w:rPr>
          <w:rFonts w:ascii="Times New Roman" w:hAnsi="Times New Roman"/>
          <w:sz w:val="28"/>
          <w:szCs w:val="28"/>
        </w:rPr>
        <w:t xml:space="preserve"> набора материала, анализ полученных данных, подготовка научных публикаций по исследуемой теме, сдача экзаменов в объеме кандидатского минимума. </w:t>
      </w:r>
    </w:p>
    <w:p w:rsidR="007F22B4" w:rsidRPr="00B95D8F" w:rsidRDefault="00C11D06" w:rsidP="008A697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D8F">
        <w:rPr>
          <w:rFonts w:ascii="Times New Roman" w:hAnsi="Times New Roman"/>
          <w:sz w:val="28"/>
          <w:szCs w:val="28"/>
        </w:rPr>
        <w:lastRenderedPageBreak/>
        <w:t>202</w:t>
      </w:r>
      <w:r w:rsidR="00A35540" w:rsidRPr="00B95D8F">
        <w:rPr>
          <w:rFonts w:ascii="Times New Roman" w:hAnsi="Times New Roman"/>
          <w:sz w:val="28"/>
          <w:szCs w:val="28"/>
        </w:rPr>
        <w:t>0</w:t>
      </w:r>
      <w:r w:rsidRPr="00B95D8F">
        <w:rPr>
          <w:rFonts w:ascii="Times New Roman" w:hAnsi="Times New Roman"/>
          <w:sz w:val="28"/>
          <w:szCs w:val="28"/>
        </w:rPr>
        <w:t xml:space="preserve"> г. – </w:t>
      </w:r>
      <w:r w:rsidR="00A35540" w:rsidRPr="00B95D8F">
        <w:rPr>
          <w:rFonts w:ascii="Times New Roman" w:hAnsi="Times New Roman"/>
          <w:sz w:val="28"/>
          <w:szCs w:val="28"/>
        </w:rPr>
        <w:t>ан</w:t>
      </w:r>
      <w:r w:rsidR="00B95D8F">
        <w:rPr>
          <w:rFonts w:ascii="Times New Roman" w:hAnsi="Times New Roman"/>
          <w:sz w:val="28"/>
          <w:szCs w:val="28"/>
        </w:rPr>
        <w:t>ализ нормативной документации, п</w:t>
      </w:r>
      <w:r w:rsidR="00A35540" w:rsidRPr="00B95D8F">
        <w:rPr>
          <w:rFonts w:ascii="Times New Roman" w:hAnsi="Times New Roman"/>
          <w:sz w:val="28"/>
          <w:szCs w:val="28"/>
        </w:rPr>
        <w:t xml:space="preserve">одготовка научных </w:t>
      </w:r>
      <w:r w:rsidR="00B95D8F">
        <w:rPr>
          <w:rFonts w:ascii="Times New Roman" w:hAnsi="Times New Roman"/>
          <w:sz w:val="28"/>
          <w:szCs w:val="28"/>
        </w:rPr>
        <w:t>публикаций по исследуемой теме, а</w:t>
      </w:r>
      <w:r w:rsidR="00A35540" w:rsidRPr="00B95D8F">
        <w:rPr>
          <w:rFonts w:ascii="Times New Roman" w:hAnsi="Times New Roman"/>
          <w:sz w:val="28"/>
          <w:szCs w:val="28"/>
        </w:rPr>
        <w:t>нализ экономического ущерба, построение</w:t>
      </w:r>
      <w:r w:rsidR="007F22B4" w:rsidRPr="00B95D8F">
        <w:rPr>
          <w:rFonts w:ascii="Times New Roman" w:hAnsi="Times New Roman"/>
          <w:sz w:val="28"/>
          <w:szCs w:val="28"/>
        </w:rPr>
        <w:t xml:space="preserve"> математической модели. </w:t>
      </w:r>
    </w:p>
    <w:p w:rsidR="00C301BE" w:rsidRPr="00A655EB" w:rsidRDefault="007F22B4" w:rsidP="008A697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D8F">
        <w:rPr>
          <w:rFonts w:ascii="Times New Roman" w:hAnsi="Times New Roman"/>
          <w:sz w:val="28"/>
          <w:szCs w:val="28"/>
        </w:rPr>
        <w:t xml:space="preserve">2019 – 2021 гг. - </w:t>
      </w:r>
      <w:r w:rsidR="00C11D06" w:rsidRPr="00B95D8F">
        <w:rPr>
          <w:rFonts w:ascii="Times New Roman" w:hAnsi="Times New Roman"/>
          <w:sz w:val="28"/>
          <w:szCs w:val="28"/>
        </w:rPr>
        <w:t xml:space="preserve">написание диссертации, представление ее научному руководителю, апробация диссертации, защита. </w:t>
      </w:r>
    </w:p>
    <w:sectPr w:rsidR="00C301BE" w:rsidRPr="00A655EB" w:rsidSect="00E8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22" w:rsidRDefault="00046522" w:rsidP="00A655EB">
      <w:pPr>
        <w:spacing w:after="0" w:line="240" w:lineRule="auto"/>
      </w:pPr>
      <w:r>
        <w:separator/>
      </w:r>
    </w:p>
  </w:endnote>
  <w:endnote w:type="continuationSeparator" w:id="0">
    <w:p w:rsidR="00046522" w:rsidRDefault="00046522" w:rsidP="00A6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80964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A655EB" w:rsidRPr="00A655EB" w:rsidRDefault="000C307D">
        <w:pPr>
          <w:pStyle w:val="ad"/>
          <w:jc w:val="center"/>
          <w:rPr>
            <w:rFonts w:ascii="Palatino Linotype" w:hAnsi="Palatino Linotype"/>
          </w:rPr>
        </w:pPr>
        <w:r w:rsidRPr="00A655EB">
          <w:rPr>
            <w:rFonts w:ascii="Palatino Linotype" w:hAnsi="Palatino Linotype"/>
          </w:rPr>
          <w:fldChar w:fldCharType="begin"/>
        </w:r>
        <w:r w:rsidR="00A655EB" w:rsidRPr="00A655EB">
          <w:rPr>
            <w:rFonts w:ascii="Palatino Linotype" w:hAnsi="Palatino Linotype"/>
          </w:rPr>
          <w:instrText xml:space="preserve"> PAGE   \* MERGEFORMAT </w:instrText>
        </w:r>
        <w:r w:rsidRPr="00A655EB">
          <w:rPr>
            <w:rFonts w:ascii="Palatino Linotype" w:hAnsi="Palatino Linotype"/>
          </w:rPr>
          <w:fldChar w:fldCharType="separate"/>
        </w:r>
        <w:r w:rsidR="000F108E">
          <w:rPr>
            <w:rFonts w:ascii="Palatino Linotype" w:hAnsi="Palatino Linotype"/>
            <w:noProof/>
          </w:rPr>
          <w:t>11</w:t>
        </w:r>
        <w:r w:rsidRPr="00A655EB">
          <w:rPr>
            <w:rFonts w:ascii="Palatino Linotype" w:hAnsi="Palatino Linotype"/>
            <w:noProof/>
          </w:rPr>
          <w:fldChar w:fldCharType="end"/>
        </w:r>
      </w:p>
    </w:sdtContent>
  </w:sdt>
  <w:p w:rsidR="00A655EB" w:rsidRDefault="00A655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22" w:rsidRDefault="00046522" w:rsidP="00A655EB">
      <w:pPr>
        <w:spacing w:after="0" w:line="240" w:lineRule="auto"/>
      </w:pPr>
      <w:r>
        <w:separator/>
      </w:r>
    </w:p>
  </w:footnote>
  <w:footnote w:type="continuationSeparator" w:id="0">
    <w:p w:rsidR="00046522" w:rsidRDefault="00046522" w:rsidP="00A6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249"/>
    <w:multiLevelType w:val="hybridMultilevel"/>
    <w:tmpl w:val="76D0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ED9"/>
    <w:multiLevelType w:val="hybridMultilevel"/>
    <w:tmpl w:val="7B78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4F9"/>
    <w:multiLevelType w:val="hybridMultilevel"/>
    <w:tmpl w:val="A684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7D33"/>
    <w:multiLevelType w:val="hybridMultilevel"/>
    <w:tmpl w:val="269A6950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F06C7"/>
    <w:multiLevelType w:val="hybridMultilevel"/>
    <w:tmpl w:val="7AD48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0ACE"/>
    <w:multiLevelType w:val="hybridMultilevel"/>
    <w:tmpl w:val="0A001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28CB"/>
    <w:multiLevelType w:val="hybridMultilevel"/>
    <w:tmpl w:val="51C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268B"/>
    <w:multiLevelType w:val="hybridMultilevel"/>
    <w:tmpl w:val="BBAA0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E73F1"/>
    <w:multiLevelType w:val="hybridMultilevel"/>
    <w:tmpl w:val="806AC30C"/>
    <w:lvl w:ilvl="0" w:tplc="A18A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D75A75"/>
    <w:multiLevelType w:val="hybridMultilevel"/>
    <w:tmpl w:val="FDC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0477"/>
    <w:multiLevelType w:val="hybridMultilevel"/>
    <w:tmpl w:val="6848FB6A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742D0D"/>
    <w:multiLevelType w:val="hybridMultilevel"/>
    <w:tmpl w:val="6EFC4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A4E1C"/>
    <w:multiLevelType w:val="hybridMultilevel"/>
    <w:tmpl w:val="BFDA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AF"/>
    <w:rsid w:val="00001611"/>
    <w:rsid w:val="00014144"/>
    <w:rsid w:val="00027365"/>
    <w:rsid w:val="000353B6"/>
    <w:rsid w:val="00046522"/>
    <w:rsid w:val="00064FA9"/>
    <w:rsid w:val="00081342"/>
    <w:rsid w:val="0008550D"/>
    <w:rsid w:val="000A0853"/>
    <w:rsid w:val="000C2012"/>
    <w:rsid w:val="000C307D"/>
    <w:rsid w:val="000F108E"/>
    <w:rsid w:val="001054DA"/>
    <w:rsid w:val="001120EF"/>
    <w:rsid w:val="001760AB"/>
    <w:rsid w:val="001A7B99"/>
    <w:rsid w:val="001D44CE"/>
    <w:rsid w:val="001F1E3B"/>
    <w:rsid w:val="00211368"/>
    <w:rsid w:val="00215247"/>
    <w:rsid w:val="00230899"/>
    <w:rsid w:val="00243BA3"/>
    <w:rsid w:val="002721F8"/>
    <w:rsid w:val="00280981"/>
    <w:rsid w:val="002A4488"/>
    <w:rsid w:val="002A6613"/>
    <w:rsid w:val="002A6F36"/>
    <w:rsid w:val="002F16DF"/>
    <w:rsid w:val="00301E7D"/>
    <w:rsid w:val="00304F97"/>
    <w:rsid w:val="003366FB"/>
    <w:rsid w:val="00366A73"/>
    <w:rsid w:val="003A16BC"/>
    <w:rsid w:val="003A5CDD"/>
    <w:rsid w:val="003B44F2"/>
    <w:rsid w:val="003D309C"/>
    <w:rsid w:val="003E5375"/>
    <w:rsid w:val="003F760B"/>
    <w:rsid w:val="00411C83"/>
    <w:rsid w:val="00413300"/>
    <w:rsid w:val="00421BFB"/>
    <w:rsid w:val="00455729"/>
    <w:rsid w:val="00496126"/>
    <w:rsid w:val="004B15AE"/>
    <w:rsid w:val="004B3E7B"/>
    <w:rsid w:val="004C4AB7"/>
    <w:rsid w:val="004F1D9D"/>
    <w:rsid w:val="00523137"/>
    <w:rsid w:val="0054546A"/>
    <w:rsid w:val="005525F6"/>
    <w:rsid w:val="005745AF"/>
    <w:rsid w:val="005871A9"/>
    <w:rsid w:val="005E11FD"/>
    <w:rsid w:val="005E3066"/>
    <w:rsid w:val="00602F3A"/>
    <w:rsid w:val="00607D4D"/>
    <w:rsid w:val="0061178F"/>
    <w:rsid w:val="00623A50"/>
    <w:rsid w:val="00635A6F"/>
    <w:rsid w:val="0064296A"/>
    <w:rsid w:val="00671607"/>
    <w:rsid w:val="00677230"/>
    <w:rsid w:val="006824EF"/>
    <w:rsid w:val="006968FE"/>
    <w:rsid w:val="006B34FC"/>
    <w:rsid w:val="00715F42"/>
    <w:rsid w:val="007272C0"/>
    <w:rsid w:val="00732FFB"/>
    <w:rsid w:val="0074450A"/>
    <w:rsid w:val="007B225F"/>
    <w:rsid w:val="007B4041"/>
    <w:rsid w:val="007C4D1C"/>
    <w:rsid w:val="007D2C9D"/>
    <w:rsid w:val="007D5D10"/>
    <w:rsid w:val="007F22B4"/>
    <w:rsid w:val="007F2862"/>
    <w:rsid w:val="00840A2A"/>
    <w:rsid w:val="00847294"/>
    <w:rsid w:val="00857021"/>
    <w:rsid w:val="00885F11"/>
    <w:rsid w:val="00893B8B"/>
    <w:rsid w:val="00897013"/>
    <w:rsid w:val="008A5D34"/>
    <w:rsid w:val="008A6979"/>
    <w:rsid w:val="008B7D68"/>
    <w:rsid w:val="008C303B"/>
    <w:rsid w:val="008D159D"/>
    <w:rsid w:val="008E3CF3"/>
    <w:rsid w:val="008E4ED7"/>
    <w:rsid w:val="008E5484"/>
    <w:rsid w:val="008F0CEA"/>
    <w:rsid w:val="00912EB4"/>
    <w:rsid w:val="00924221"/>
    <w:rsid w:val="009363E6"/>
    <w:rsid w:val="009457F4"/>
    <w:rsid w:val="00946FC6"/>
    <w:rsid w:val="0095764E"/>
    <w:rsid w:val="00986781"/>
    <w:rsid w:val="009A2261"/>
    <w:rsid w:val="009A79F3"/>
    <w:rsid w:val="009B0744"/>
    <w:rsid w:val="009B2118"/>
    <w:rsid w:val="009C05CB"/>
    <w:rsid w:val="009D2CD7"/>
    <w:rsid w:val="009E76A1"/>
    <w:rsid w:val="00A20324"/>
    <w:rsid w:val="00A35540"/>
    <w:rsid w:val="00A563FD"/>
    <w:rsid w:val="00A618EE"/>
    <w:rsid w:val="00A655EB"/>
    <w:rsid w:val="00A813D1"/>
    <w:rsid w:val="00A85C74"/>
    <w:rsid w:val="00AF5659"/>
    <w:rsid w:val="00B121F8"/>
    <w:rsid w:val="00B15EBC"/>
    <w:rsid w:val="00B3497A"/>
    <w:rsid w:val="00B518BC"/>
    <w:rsid w:val="00B57B9F"/>
    <w:rsid w:val="00B808CE"/>
    <w:rsid w:val="00B9045A"/>
    <w:rsid w:val="00B90A4E"/>
    <w:rsid w:val="00B95D8F"/>
    <w:rsid w:val="00BA1737"/>
    <w:rsid w:val="00BA53DC"/>
    <w:rsid w:val="00BA62F0"/>
    <w:rsid w:val="00BE124D"/>
    <w:rsid w:val="00BE25CE"/>
    <w:rsid w:val="00C11D06"/>
    <w:rsid w:val="00C14346"/>
    <w:rsid w:val="00C16500"/>
    <w:rsid w:val="00C301BE"/>
    <w:rsid w:val="00C6412E"/>
    <w:rsid w:val="00C6505D"/>
    <w:rsid w:val="00D064EB"/>
    <w:rsid w:val="00D26620"/>
    <w:rsid w:val="00D36F7B"/>
    <w:rsid w:val="00D8315A"/>
    <w:rsid w:val="00DA02B1"/>
    <w:rsid w:val="00DA48BA"/>
    <w:rsid w:val="00DE182F"/>
    <w:rsid w:val="00DF37B4"/>
    <w:rsid w:val="00DF7823"/>
    <w:rsid w:val="00E13AD9"/>
    <w:rsid w:val="00E243BA"/>
    <w:rsid w:val="00E4107F"/>
    <w:rsid w:val="00E4239E"/>
    <w:rsid w:val="00E45ABB"/>
    <w:rsid w:val="00E62969"/>
    <w:rsid w:val="00E84540"/>
    <w:rsid w:val="00E86230"/>
    <w:rsid w:val="00E911E0"/>
    <w:rsid w:val="00E94B64"/>
    <w:rsid w:val="00ED771D"/>
    <w:rsid w:val="00F41E4D"/>
    <w:rsid w:val="00F67BC4"/>
    <w:rsid w:val="00F80D5A"/>
    <w:rsid w:val="00F911DA"/>
    <w:rsid w:val="00FA4BCC"/>
    <w:rsid w:val="00FD6D3F"/>
    <w:rsid w:val="00FE0AE6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83C42E0"/>
  <w15:docId w15:val="{A4FE4EF4-7FB6-42B8-A8A8-19E65BC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0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11D0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15A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7">
    <w:name w:val="line number"/>
    <w:basedOn w:val="a0"/>
    <w:uiPriority w:val="99"/>
    <w:semiHidden/>
    <w:unhideWhenUsed/>
    <w:rsid w:val="00A655EB"/>
  </w:style>
  <w:style w:type="paragraph" w:styleId="a8">
    <w:name w:val="endnote text"/>
    <w:basedOn w:val="a"/>
    <w:link w:val="a9"/>
    <w:uiPriority w:val="99"/>
    <w:semiHidden/>
    <w:unhideWhenUsed/>
    <w:rsid w:val="00A655E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655E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655E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6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55EB"/>
  </w:style>
  <w:style w:type="paragraph" w:styleId="ad">
    <w:name w:val="footer"/>
    <w:basedOn w:val="a"/>
    <w:link w:val="ae"/>
    <w:uiPriority w:val="99"/>
    <w:unhideWhenUsed/>
    <w:rsid w:val="00A6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5EB"/>
  </w:style>
  <w:style w:type="character" w:styleId="af">
    <w:name w:val="annotation reference"/>
    <w:basedOn w:val="a0"/>
    <w:uiPriority w:val="99"/>
    <w:semiHidden/>
    <w:unhideWhenUsed/>
    <w:rsid w:val="00F911D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1D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1D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1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1DA"/>
    <w:rPr>
      <w:b/>
      <w:bCs/>
      <w:sz w:val="20"/>
      <w:szCs w:val="20"/>
    </w:rPr>
  </w:style>
  <w:style w:type="table" w:styleId="af4">
    <w:name w:val="Table Grid"/>
    <w:basedOn w:val="a1"/>
    <w:uiPriority w:val="59"/>
    <w:rsid w:val="003A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4686-0AA7-4E65-AD86-0EDFF0D8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2374</Words>
  <Characters>13532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Агро-Волга</dc:creator>
  <cp:lastModifiedBy>Торопин Василий Васильевич</cp:lastModifiedBy>
  <cp:revision>4</cp:revision>
  <cp:lastPrinted>2019-03-17T16:06:00Z</cp:lastPrinted>
  <dcterms:created xsi:type="dcterms:W3CDTF">2021-06-24T07:11:00Z</dcterms:created>
  <dcterms:modified xsi:type="dcterms:W3CDTF">2021-07-13T06:36:00Z</dcterms:modified>
</cp:coreProperties>
</file>